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43" w:rsidRPr="007366EE" w:rsidRDefault="00493743" w:rsidP="00CE0266">
      <w:pPr>
        <w:spacing w:after="0"/>
        <w:jc w:val="center"/>
        <w:rPr>
          <w:rFonts w:cs="Arial"/>
          <w:b/>
          <w:sz w:val="20"/>
          <w:szCs w:val="20"/>
        </w:rPr>
      </w:pPr>
    </w:p>
    <w:p w:rsidR="00493743" w:rsidRPr="007366EE" w:rsidRDefault="00F536FB" w:rsidP="00CE0266">
      <w:pPr>
        <w:spacing w:after="0"/>
        <w:jc w:val="center"/>
        <w:rPr>
          <w:rFonts w:cs="Arial"/>
          <w:b/>
          <w:sz w:val="20"/>
          <w:szCs w:val="20"/>
        </w:rPr>
      </w:pPr>
      <w:r>
        <w:rPr>
          <w:rFonts w:cs="Arial"/>
          <w:b/>
          <w:sz w:val="20"/>
          <w:szCs w:val="20"/>
        </w:rPr>
        <w:pict>
          <v:shapetype id="_x0000_t202" coordsize="21600,21600" o:spt="202" path="m,l,21600r21600,l21600,xe">
            <v:stroke joinstyle="miter"/>
            <v:path gradientshapeok="t" o:connecttype="rect"/>
          </v:shapetype>
          <v:shape id="_x0000_s1047" type="#_x0000_t202" style="position:absolute;left:0;text-align:left;margin-left:.7pt;margin-top:3.75pt;width:459.7pt;height:663.9pt;z-index:251657728" stroked="f">
            <v:textbox style="mso-next-textbox:#_x0000_s1047">
              <w:txbxContent>
                <w:p w:rsidR="00EF5504" w:rsidRPr="0054070F" w:rsidRDefault="00EF5504" w:rsidP="00923681">
                  <w:pPr>
                    <w:spacing w:after="0" w:line="240" w:lineRule="auto"/>
                    <w:jc w:val="center"/>
                    <w:rPr>
                      <w:rFonts w:cs="Tahoma"/>
                      <w:color w:val="0000FF"/>
                      <w:sz w:val="18"/>
                      <w:szCs w:val="18"/>
                    </w:rPr>
                  </w:pPr>
                  <w:r>
                    <w:rPr>
                      <w:noProof/>
                      <w:color w:val="000000"/>
                      <w:sz w:val="18"/>
                      <w:szCs w:val="18"/>
                    </w:rPr>
                    <w:drawing>
                      <wp:inline distT="0" distB="0" distL="0" distR="0">
                        <wp:extent cx="5943600" cy="1028700"/>
                        <wp:effectExtent l="19050" t="0" r="0" b="0"/>
                        <wp:docPr id="9" name="Picture 1" descr="http://www.invest.gov.tr/images/footer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gov.tr/images/footer_banner.jpg"/>
                                <pic:cNvPicPr>
                                  <a:picLocks noChangeAspect="1" noChangeArrowheads="1"/>
                                </pic:cNvPicPr>
                              </pic:nvPicPr>
                              <pic:blipFill>
                                <a:blip r:embed="rId8"/>
                                <a:srcRect/>
                                <a:stretch>
                                  <a:fillRect/>
                                </a:stretch>
                              </pic:blipFill>
                              <pic:spPr bwMode="auto">
                                <a:xfrm>
                                  <a:off x="0" y="0"/>
                                  <a:ext cx="5943600" cy="1028700"/>
                                </a:xfrm>
                                <a:prstGeom prst="rect">
                                  <a:avLst/>
                                </a:prstGeom>
                                <a:noFill/>
                                <a:ln w="9525">
                                  <a:noFill/>
                                  <a:miter lim="800000"/>
                                  <a:headEnd/>
                                  <a:tailEnd/>
                                </a:ln>
                              </pic:spPr>
                            </pic:pic>
                          </a:graphicData>
                        </a:graphic>
                      </wp:inline>
                    </w:drawing>
                  </w: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1963DD">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color w:val="0000FF"/>
                      <w:sz w:val="18"/>
                      <w:szCs w:val="18"/>
                    </w:rPr>
                  </w:pPr>
                </w:p>
                <w:p w:rsidR="00EF5504" w:rsidRPr="0054070F" w:rsidRDefault="00EF5504" w:rsidP="00923681">
                  <w:pPr>
                    <w:spacing w:after="0" w:line="240" w:lineRule="auto"/>
                    <w:jc w:val="center"/>
                    <w:rPr>
                      <w:rFonts w:cs="Arial"/>
                      <w:b/>
                      <w:sz w:val="18"/>
                      <w:szCs w:val="18"/>
                    </w:rPr>
                  </w:pPr>
                </w:p>
                <w:p w:rsidR="00EF5504" w:rsidRPr="0054070F" w:rsidRDefault="00EF5504" w:rsidP="001878C1">
                  <w:pPr>
                    <w:spacing w:after="0" w:line="240" w:lineRule="auto"/>
                    <w:jc w:val="center"/>
                    <w:rPr>
                      <w:rFonts w:cs="Tahoma"/>
                      <w:color w:val="0000FF"/>
                      <w:sz w:val="18"/>
                      <w:szCs w:val="18"/>
                    </w:rPr>
                  </w:pPr>
                  <w:r w:rsidRPr="001878C1">
                    <w:rPr>
                      <w:rFonts w:cs="Arial"/>
                      <w:b/>
                      <w:sz w:val="40"/>
                      <w:szCs w:val="40"/>
                    </w:rPr>
                    <w:t>Natural Gas Industry in Turkey</w:t>
                  </w:r>
                </w:p>
                <w:p w:rsidR="00EF5504" w:rsidRPr="0054070F" w:rsidRDefault="00EF5504" w:rsidP="00923681">
                  <w:pPr>
                    <w:spacing w:after="0" w:line="240" w:lineRule="auto"/>
                    <w:rPr>
                      <w:rFonts w:cs="Tahoma"/>
                      <w:color w:val="0000FF"/>
                      <w:sz w:val="18"/>
                      <w:szCs w:val="18"/>
                    </w:rPr>
                  </w:pPr>
                </w:p>
                <w:p w:rsidR="00EF5504" w:rsidRPr="0054070F" w:rsidRDefault="00EF5504" w:rsidP="00923681">
                  <w:pPr>
                    <w:spacing w:after="0" w:line="240" w:lineRule="auto"/>
                    <w:rPr>
                      <w:rFonts w:cs="Tahoma"/>
                      <w:color w:val="0000FF"/>
                      <w:sz w:val="18"/>
                      <w:szCs w:val="18"/>
                    </w:rPr>
                  </w:pPr>
                </w:p>
                <w:p w:rsidR="00EF5504" w:rsidRPr="0054070F" w:rsidRDefault="00EF5504" w:rsidP="00923681">
                  <w:pPr>
                    <w:pStyle w:val="Footer"/>
                    <w:spacing w:after="0" w:line="240" w:lineRule="auto"/>
                    <w:jc w:val="center"/>
                    <w:rPr>
                      <w:rFonts w:cs="Arial"/>
                      <w:b/>
                      <w:bCs/>
                      <w:color w:val="FF0000"/>
                      <w:sz w:val="18"/>
                      <w:szCs w:val="18"/>
                    </w:rPr>
                  </w:pPr>
                </w:p>
                <w:p w:rsidR="00EF5504" w:rsidRPr="0054070F" w:rsidRDefault="00EF5504" w:rsidP="00923681">
                  <w:pPr>
                    <w:pStyle w:val="Footer"/>
                    <w:spacing w:after="0" w:line="240" w:lineRule="auto"/>
                    <w:jc w:val="center"/>
                    <w:rPr>
                      <w:rFonts w:cs="Arial"/>
                      <w:b/>
                      <w:bCs/>
                      <w:color w:val="FF0000"/>
                      <w:sz w:val="18"/>
                      <w:szCs w:val="18"/>
                    </w:rPr>
                  </w:pPr>
                </w:p>
                <w:p w:rsidR="00EF5504" w:rsidRPr="0054070F" w:rsidRDefault="00EF5504" w:rsidP="00923681">
                  <w:pPr>
                    <w:pStyle w:val="Footer"/>
                    <w:spacing w:after="0" w:line="240" w:lineRule="auto"/>
                    <w:jc w:val="center"/>
                    <w:rPr>
                      <w:rFonts w:cs="Arial"/>
                      <w:b/>
                      <w:bCs/>
                      <w:color w:val="FF0000"/>
                      <w:sz w:val="18"/>
                      <w:szCs w:val="18"/>
                    </w:rPr>
                  </w:pPr>
                </w:p>
                <w:p w:rsidR="00EF5504" w:rsidRPr="0054070F" w:rsidRDefault="00EF5504" w:rsidP="00923681">
                  <w:pPr>
                    <w:pStyle w:val="Footer"/>
                    <w:spacing w:after="0" w:line="240" w:lineRule="auto"/>
                    <w:jc w:val="center"/>
                    <w:rPr>
                      <w:rFonts w:cs="Arial"/>
                      <w:b/>
                      <w:bCs/>
                      <w:color w:val="FF0000"/>
                      <w:sz w:val="18"/>
                      <w:szCs w:val="18"/>
                    </w:rPr>
                  </w:pPr>
                </w:p>
                <w:p w:rsidR="00EF5504" w:rsidRPr="0054070F" w:rsidRDefault="00EF5504" w:rsidP="00923681">
                  <w:pPr>
                    <w:pStyle w:val="Footer"/>
                    <w:spacing w:after="0" w:line="240" w:lineRule="auto"/>
                    <w:jc w:val="center"/>
                    <w:rPr>
                      <w:rFonts w:cs="Arial"/>
                      <w:b/>
                      <w:bCs/>
                      <w:color w:val="FF0000"/>
                      <w:sz w:val="18"/>
                      <w:szCs w:val="18"/>
                    </w:rPr>
                  </w:pPr>
                </w:p>
                <w:p w:rsidR="00EF5504" w:rsidRPr="0054070F" w:rsidRDefault="00EF5504" w:rsidP="00923681">
                  <w:pPr>
                    <w:pStyle w:val="Footer"/>
                    <w:spacing w:after="0" w:line="240" w:lineRule="auto"/>
                    <w:jc w:val="center"/>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Default="00EF5504" w:rsidP="001963DD">
                  <w:pPr>
                    <w:pStyle w:val="Footer"/>
                    <w:spacing w:after="0" w:line="240" w:lineRule="auto"/>
                    <w:rPr>
                      <w:rFonts w:cs="Arial"/>
                      <w:b/>
                      <w:bCs/>
                      <w:color w:val="FF0000"/>
                      <w:sz w:val="14"/>
                      <w:szCs w:val="14"/>
                    </w:rPr>
                  </w:pPr>
                </w:p>
                <w:p w:rsidR="00EF5504" w:rsidRPr="0054070F" w:rsidRDefault="00EF5504" w:rsidP="00D50E6B">
                  <w:pPr>
                    <w:jc w:val="center"/>
                  </w:pPr>
                  <w:r>
                    <w:rPr>
                      <w:b/>
                      <w:bCs/>
                      <w:noProof/>
                    </w:rPr>
                    <w:drawing>
                      <wp:inline distT="0" distB="0" distL="0" distR="0">
                        <wp:extent cx="2787015" cy="1099185"/>
                        <wp:effectExtent l="19050" t="0" r="0" b="0"/>
                        <wp:docPr id="3" name="Picture 1" descr="jssm_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m_invest"/>
                                <pic:cNvPicPr>
                                  <a:picLocks noChangeAspect="1" noChangeArrowheads="1"/>
                                </pic:cNvPicPr>
                              </pic:nvPicPr>
                              <pic:blipFill>
                                <a:blip r:embed="rId9" r:link="rId10"/>
                                <a:srcRect/>
                                <a:stretch>
                                  <a:fillRect/>
                                </a:stretch>
                              </pic:blipFill>
                              <pic:spPr bwMode="auto">
                                <a:xfrm>
                                  <a:off x="0" y="0"/>
                                  <a:ext cx="2787015" cy="1099185"/>
                                </a:xfrm>
                                <a:prstGeom prst="rect">
                                  <a:avLst/>
                                </a:prstGeom>
                                <a:noFill/>
                                <a:ln w="9525">
                                  <a:noFill/>
                                  <a:miter lim="800000"/>
                                  <a:headEnd/>
                                  <a:tailEnd/>
                                </a:ln>
                              </pic:spPr>
                            </pic:pic>
                          </a:graphicData>
                        </a:graphic>
                      </wp:inline>
                    </w:drawing>
                  </w:r>
                </w:p>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p w:rsidR="00EF5504" w:rsidRPr="0054070F" w:rsidRDefault="00EF5504" w:rsidP="00923681"/>
              </w:txbxContent>
            </v:textbox>
          </v:shape>
        </w:pict>
      </w: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493743" w:rsidRPr="007366EE" w:rsidRDefault="00493743" w:rsidP="00CE0266">
      <w:pPr>
        <w:spacing w:after="0"/>
        <w:jc w:val="center"/>
        <w:rPr>
          <w:rFonts w:cs="Arial"/>
          <w:b/>
          <w:sz w:val="20"/>
          <w:szCs w:val="20"/>
        </w:rPr>
      </w:pPr>
    </w:p>
    <w:p w:rsidR="005A3461" w:rsidRDefault="005A3461" w:rsidP="00CE0266">
      <w:pPr>
        <w:spacing w:after="0"/>
        <w:jc w:val="center"/>
        <w:rPr>
          <w:rFonts w:cs="CenturyGothic"/>
          <w:b/>
          <w:sz w:val="20"/>
          <w:szCs w:val="20"/>
          <w:lang w:eastAsia="tr-TR"/>
        </w:rPr>
      </w:pPr>
    </w:p>
    <w:tbl>
      <w:tblPr>
        <w:tblW w:w="0" w:type="auto"/>
        <w:jc w:val="center"/>
        <w:tblLook w:val="04A0"/>
      </w:tblPr>
      <w:tblGrid>
        <w:gridCol w:w="8028"/>
        <w:gridCol w:w="1138"/>
      </w:tblGrid>
      <w:tr w:rsidR="00B875D1" w:rsidRPr="00363C50" w:rsidTr="00AA7A13">
        <w:trPr>
          <w:jc w:val="center"/>
        </w:trPr>
        <w:tc>
          <w:tcPr>
            <w:tcW w:w="8028" w:type="dxa"/>
          </w:tcPr>
          <w:p w:rsidR="00AA7A13" w:rsidRDefault="00AA7A13" w:rsidP="00EF5504">
            <w:pPr>
              <w:spacing w:before="120" w:after="120"/>
              <w:rPr>
                <w:b/>
                <w:sz w:val="20"/>
                <w:szCs w:val="20"/>
              </w:rPr>
            </w:pPr>
          </w:p>
          <w:p w:rsidR="00AA7A13" w:rsidRDefault="00AA7A13" w:rsidP="00EF5504">
            <w:pPr>
              <w:spacing w:before="120" w:after="120"/>
              <w:rPr>
                <w:b/>
                <w:sz w:val="20"/>
                <w:szCs w:val="20"/>
              </w:rPr>
            </w:pPr>
          </w:p>
          <w:p w:rsidR="00AA7A13" w:rsidRDefault="00AA7A13" w:rsidP="00EF5504">
            <w:pPr>
              <w:spacing w:before="120" w:after="120"/>
              <w:rPr>
                <w:b/>
                <w:sz w:val="20"/>
                <w:szCs w:val="20"/>
              </w:rPr>
            </w:pPr>
          </w:p>
          <w:p w:rsidR="00B875D1" w:rsidRPr="00363C50" w:rsidRDefault="00B875D1" w:rsidP="00EF5504">
            <w:pPr>
              <w:spacing w:before="120" w:after="120"/>
              <w:rPr>
                <w:sz w:val="20"/>
                <w:szCs w:val="20"/>
              </w:rPr>
            </w:pPr>
            <w:r w:rsidRPr="00F16796">
              <w:rPr>
                <w:b/>
                <w:sz w:val="20"/>
                <w:szCs w:val="20"/>
              </w:rPr>
              <w:t>Content</w:t>
            </w:r>
          </w:p>
        </w:tc>
        <w:tc>
          <w:tcPr>
            <w:tcW w:w="1138" w:type="dxa"/>
          </w:tcPr>
          <w:p w:rsidR="00B875D1" w:rsidRPr="00363C50" w:rsidRDefault="00B875D1" w:rsidP="00EF5504">
            <w:pPr>
              <w:spacing w:before="120" w:after="120"/>
              <w:rPr>
                <w:sz w:val="20"/>
                <w:szCs w:val="20"/>
              </w:rPr>
            </w:pP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sz w:val="20"/>
                <w:szCs w:val="20"/>
              </w:rPr>
              <w:t>Introduction to Natural Gas Industry in Turkey</w:t>
            </w:r>
          </w:p>
        </w:tc>
        <w:tc>
          <w:tcPr>
            <w:tcW w:w="1138" w:type="dxa"/>
          </w:tcPr>
          <w:p w:rsidR="00B875D1" w:rsidRPr="00EE21D8" w:rsidRDefault="00B875D1" w:rsidP="00EF5504">
            <w:pPr>
              <w:spacing w:before="120" w:after="120"/>
              <w:rPr>
                <w:sz w:val="20"/>
                <w:szCs w:val="20"/>
              </w:rPr>
            </w:pPr>
            <w:r w:rsidRPr="00EE21D8">
              <w:rPr>
                <w:sz w:val="20"/>
                <w:szCs w:val="20"/>
              </w:rPr>
              <w:t>2</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sz w:val="20"/>
                <w:szCs w:val="20"/>
              </w:rPr>
              <w:t xml:space="preserve">Players in the </w:t>
            </w:r>
            <w:r w:rsidR="00EF5504">
              <w:rPr>
                <w:sz w:val="20"/>
                <w:szCs w:val="20"/>
              </w:rPr>
              <w:t>Sector</w:t>
            </w:r>
          </w:p>
        </w:tc>
        <w:tc>
          <w:tcPr>
            <w:tcW w:w="1138" w:type="dxa"/>
          </w:tcPr>
          <w:p w:rsidR="00B875D1" w:rsidRPr="00EE21D8" w:rsidRDefault="00B875D1" w:rsidP="00EF5504">
            <w:pPr>
              <w:spacing w:before="120" w:after="120"/>
              <w:rPr>
                <w:sz w:val="20"/>
                <w:szCs w:val="20"/>
              </w:rPr>
            </w:pPr>
            <w:r w:rsidRPr="00EE21D8">
              <w:rPr>
                <w:sz w:val="20"/>
                <w:szCs w:val="20"/>
              </w:rPr>
              <w:t>3</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rStyle w:val="csssubheading1"/>
                <w:sz w:val="20"/>
                <w:szCs w:val="20"/>
              </w:rPr>
              <w:t>Exploration Activities</w:t>
            </w:r>
          </w:p>
        </w:tc>
        <w:tc>
          <w:tcPr>
            <w:tcW w:w="1138" w:type="dxa"/>
          </w:tcPr>
          <w:p w:rsidR="00B875D1" w:rsidRPr="00EE21D8" w:rsidRDefault="00B875D1" w:rsidP="00EF5504">
            <w:pPr>
              <w:spacing w:before="120" w:after="120"/>
              <w:rPr>
                <w:sz w:val="20"/>
                <w:szCs w:val="20"/>
              </w:rPr>
            </w:pPr>
            <w:r w:rsidRPr="00EE21D8">
              <w:rPr>
                <w:sz w:val="20"/>
                <w:szCs w:val="20"/>
              </w:rPr>
              <w:t>4</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sz w:val="20"/>
                <w:szCs w:val="20"/>
              </w:rPr>
              <w:t>Pipelines</w:t>
            </w:r>
          </w:p>
        </w:tc>
        <w:tc>
          <w:tcPr>
            <w:tcW w:w="1138" w:type="dxa"/>
          </w:tcPr>
          <w:p w:rsidR="00B875D1" w:rsidRPr="00EE21D8" w:rsidRDefault="00B875D1" w:rsidP="00EF5504">
            <w:pPr>
              <w:spacing w:before="120" w:after="120"/>
              <w:rPr>
                <w:sz w:val="20"/>
                <w:szCs w:val="20"/>
              </w:rPr>
            </w:pPr>
            <w:r w:rsidRPr="00EE21D8">
              <w:rPr>
                <w:sz w:val="20"/>
                <w:szCs w:val="20"/>
              </w:rPr>
              <w:t>4</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sz w:val="20"/>
                <w:szCs w:val="20"/>
              </w:rPr>
              <w:t>Domestic Network of Pipelines</w:t>
            </w:r>
          </w:p>
        </w:tc>
        <w:tc>
          <w:tcPr>
            <w:tcW w:w="1138" w:type="dxa"/>
          </w:tcPr>
          <w:p w:rsidR="00B875D1" w:rsidRPr="00EE21D8" w:rsidRDefault="00B875D1" w:rsidP="00EF5504">
            <w:pPr>
              <w:spacing w:before="120" w:after="120"/>
              <w:rPr>
                <w:sz w:val="20"/>
                <w:szCs w:val="20"/>
              </w:rPr>
            </w:pPr>
            <w:r w:rsidRPr="00EE21D8">
              <w:rPr>
                <w:sz w:val="20"/>
                <w:szCs w:val="20"/>
              </w:rPr>
              <w:t>4</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rStyle w:val="csssubheading2"/>
                <w:sz w:val="20"/>
                <w:szCs w:val="20"/>
              </w:rPr>
              <w:t>International Network of Pipelines</w:t>
            </w:r>
          </w:p>
        </w:tc>
        <w:tc>
          <w:tcPr>
            <w:tcW w:w="1138" w:type="dxa"/>
          </w:tcPr>
          <w:p w:rsidR="00B875D1" w:rsidRPr="00EE21D8" w:rsidRDefault="00B875D1" w:rsidP="00EF5504">
            <w:pPr>
              <w:spacing w:before="120" w:after="120"/>
              <w:rPr>
                <w:sz w:val="20"/>
                <w:szCs w:val="20"/>
              </w:rPr>
            </w:pPr>
            <w:r w:rsidRPr="00EE21D8">
              <w:rPr>
                <w:sz w:val="20"/>
                <w:szCs w:val="20"/>
              </w:rPr>
              <w:t>5</w:t>
            </w:r>
          </w:p>
        </w:tc>
      </w:tr>
      <w:tr w:rsidR="00B875D1" w:rsidRPr="00363C50" w:rsidTr="00AA7A13">
        <w:trPr>
          <w:jc w:val="center"/>
        </w:trPr>
        <w:tc>
          <w:tcPr>
            <w:tcW w:w="8028" w:type="dxa"/>
          </w:tcPr>
          <w:p w:rsidR="00B875D1" w:rsidRPr="00EE21D8" w:rsidRDefault="00923A21" w:rsidP="00923A21">
            <w:pPr>
              <w:spacing w:before="120" w:after="120"/>
              <w:rPr>
                <w:sz w:val="20"/>
                <w:szCs w:val="20"/>
              </w:rPr>
            </w:pPr>
            <w:r>
              <w:rPr>
                <w:rStyle w:val="csssubheading2"/>
                <w:sz w:val="20"/>
                <w:szCs w:val="20"/>
              </w:rPr>
              <w:t xml:space="preserve">Pipeline </w:t>
            </w:r>
            <w:r w:rsidR="00B875D1" w:rsidRPr="00EE21D8">
              <w:rPr>
                <w:rStyle w:val="csssubheading2"/>
                <w:sz w:val="20"/>
                <w:szCs w:val="20"/>
              </w:rPr>
              <w:t>Projects</w:t>
            </w:r>
            <w:r w:rsidR="00B875D1" w:rsidRPr="00EE21D8">
              <w:rPr>
                <w:rStyle w:val="csssubheading1"/>
                <w:sz w:val="20"/>
                <w:szCs w:val="20"/>
              </w:rPr>
              <w:t xml:space="preserve"> </w:t>
            </w:r>
          </w:p>
        </w:tc>
        <w:tc>
          <w:tcPr>
            <w:tcW w:w="1138" w:type="dxa"/>
          </w:tcPr>
          <w:p w:rsidR="00B875D1" w:rsidRPr="00EE21D8" w:rsidRDefault="00B875D1" w:rsidP="00EF5504">
            <w:pPr>
              <w:spacing w:before="120" w:after="120"/>
              <w:rPr>
                <w:sz w:val="20"/>
                <w:szCs w:val="20"/>
              </w:rPr>
            </w:pPr>
            <w:r w:rsidRPr="00EE21D8">
              <w:rPr>
                <w:sz w:val="20"/>
                <w:szCs w:val="20"/>
              </w:rPr>
              <w:t>6</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rStyle w:val="csssubheading1"/>
                <w:sz w:val="20"/>
                <w:szCs w:val="20"/>
              </w:rPr>
              <w:t>Liquefied Natural Gas (LNG)</w:t>
            </w:r>
          </w:p>
        </w:tc>
        <w:tc>
          <w:tcPr>
            <w:tcW w:w="1138" w:type="dxa"/>
          </w:tcPr>
          <w:p w:rsidR="00B875D1" w:rsidRPr="00EE21D8" w:rsidRDefault="00B875D1" w:rsidP="00EF5504">
            <w:pPr>
              <w:spacing w:before="120" w:after="120"/>
              <w:rPr>
                <w:sz w:val="20"/>
                <w:szCs w:val="20"/>
              </w:rPr>
            </w:pPr>
            <w:r w:rsidRPr="00EE21D8">
              <w:rPr>
                <w:sz w:val="20"/>
                <w:szCs w:val="20"/>
              </w:rPr>
              <w:t>8</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rFonts w:cs="TT2971O00"/>
                <w:color w:val="231F20"/>
                <w:sz w:val="20"/>
                <w:szCs w:val="20"/>
                <w:lang w:eastAsia="tr-TR"/>
              </w:rPr>
              <w:t>Opportunities in the Turkish Natural Gas Market</w:t>
            </w:r>
          </w:p>
        </w:tc>
        <w:tc>
          <w:tcPr>
            <w:tcW w:w="1138" w:type="dxa"/>
          </w:tcPr>
          <w:p w:rsidR="00B875D1" w:rsidRPr="00EE21D8" w:rsidRDefault="00B875D1" w:rsidP="00EF5504">
            <w:pPr>
              <w:spacing w:before="120" w:after="120"/>
              <w:rPr>
                <w:sz w:val="20"/>
                <w:szCs w:val="20"/>
              </w:rPr>
            </w:pPr>
            <w:r w:rsidRPr="00EE21D8">
              <w:rPr>
                <w:sz w:val="20"/>
                <w:szCs w:val="20"/>
              </w:rPr>
              <w:t>8</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rFonts w:cs="CenturyGothic"/>
                <w:sz w:val="20"/>
                <w:szCs w:val="20"/>
                <w:lang w:eastAsia="tr-TR"/>
              </w:rPr>
              <w:t>Relevant Law and Regulations</w:t>
            </w:r>
          </w:p>
        </w:tc>
        <w:tc>
          <w:tcPr>
            <w:tcW w:w="1138" w:type="dxa"/>
          </w:tcPr>
          <w:p w:rsidR="00B875D1" w:rsidRPr="00EE21D8" w:rsidRDefault="00B875D1" w:rsidP="00EF5504">
            <w:pPr>
              <w:spacing w:before="120" w:after="120"/>
              <w:rPr>
                <w:sz w:val="20"/>
                <w:szCs w:val="20"/>
              </w:rPr>
            </w:pPr>
            <w:r w:rsidRPr="00EE21D8">
              <w:rPr>
                <w:sz w:val="20"/>
                <w:szCs w:val="20"/>
              </w:rPr>
              <w:t>10</w:t>
            </w:r>
          </w:p>
        </w:tc>
      </w:tr>
      <w:tr w:rsidR="00B875D1" w:rsidRPr="00363C50" w:rsidTr="00AA7A13">
        <w:trPr>
          <w:jc w:val="center"/>
        </w:trPr>
        <w:tc>
          <w:tcPr>
            <w:tcW w:w="8028" w:type="dxa"/>
          </w:tcPr>
          <w:p w:rsidR="00B875D1" w:rsidRPr="00EE21D8" w:rsidRDefault="00B875D1" w:rsidP="00EF5504">
            <w:pPr>
              <w:spacing w:before="120" w:after="120"/>
              <w:rPr>
                <w:bCs/>
                <w:color w:val="000000"/>
                <w:sz w:val="20"/>
                <w:szCs w:val="20"/>
              </w:rPr>
            </w:pPr>
            <w:r w:rsidRPr="00EE21D8">
              <w:rPr>
                <w:bCs/>
                <w:color w:val="000000"/>
                <w:sz w:val="20"/>
                <w:szCs w:val="20"/>
              </w:rPr>
              <w:t>Guideline for Investment in the Natural Gas Market</w:t>
            </w:r>
          </w:p>
        </w:tc>
        <w:tc>
          <w:tcPr>
            <w:tcW w:w="1138" w:type="dxa"/>
          </w:tcPr>
          <w:p w:rsidR="00B875D1" w:rsidRPr="00EE21D8" w:rsidRDefault="00B875D1" w:rsidP="00EF5504">
            <w:pPr>
              <w:spacing w:before="120" w:after="120"/>
              <w:rPr>
                <w:sz w:val="20"/>
                <w:szCs w:val="20"/>
              </w:rPr>
            </w:pPr>
            <w:r w:rsidRPr="00EE21D8">
              <w:rPr>
                <w:sz w:val="20"/>
                <w:szCs w:val="20"/>
              </w:rPr>
              <w:t>14</w:t>
            </w:r>
          </w:p>
        </w:tc>
      </w:tr>
      <w:tr w:rsidR="00B875D1" w:rsidRPr="00363C50" w:rsidTr="00AA7A13">
        <w:trPr>
          <w:jc w:val="center"/>
        </w:trPr>
        <w:tc>
          <w:tcPr>
            <w:tcW w:w="8028" w:type="dxa"/>
          </w:tcPr>
          <w:p w:rsidR="00B875D1" w:rsidRPr="00EE21D8" w:rsidRDefault="00B875D1" w:rsidP="00EF5504">
            <w:pPr>
              <w:spacing w:before="120" w:after="120"/>
              <w:rPr>
                <w:sz w:val="20"/>
                <w:szCs w:val="20"/>
              </w:rPr>
            </w:pPr>
            <w:r w:rsidRPr="00EE21D8">
              <w:rPr>
                <w:sz w:val="20"/>
                <w:szCs w:val="20"/>
              </w:rPr>
              <w:t>Useful Links</w:t>
            </w:r>
          </w:p>
        </w:tc>
        <w:tc>
          <w:tcPr>
            <w:tcW w:w="1138" w:type="dxa"/>
          </w:tcPr>
          <w:p w:rsidR="00B875D1" w:rsidRPr="00EE21D8" w:rsidRDefault="00B875D1" w:rsidP="00EF5504">
            <w:pPr>
              <w:spacing w:before="120" w:after="120"/>
              <w:rPr>
                <w:sz w:val="20"/>
                <w:szCs w:val="20"/>
              </w:rPr>
            </w:pPr>
            <w:r w:rsidRPr="00EE21D8">
              <w:rPr>
                <w:sz w:val="20"/>
                <w:szCs w:val="20"/>
              </w:rPr>
              <w:t>21</w:t>
            </w:r>
          </w:p>
        </w:tc>
      </w:tr>
    </w:tbl>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B875D1" w:rsidRDefault="00B875D1" w:rsidP="00CE0266">
      <w:pPr>
        <w:spacing w:after="0"/>
        <w:jc w:val="center"/>
        <w:rPr>
          <w:rFonts w:cs="CenturyGothic"/>
          <w:b/>
          <w:sz w:val="20"/>
          <w:szCs w:val="20"/>
          <w:lang w:eastAsia="tr-TR"/>
        </w:rPr>
      </w:pPr>
    </w:p>
    <w:p w:rsidR="00922BFE" w:rsidRPr="007366EE" w:rsidRDefault="00922BFE" w:rsidP="00CE0266">
      <w:pPr>
        <w:spacing w:after="0"/>
        <w:jc w:val="center"/>
        <w:rPr>
          <w:rFonts w:cs="CenturyGothic"/>
          <w:b/>
          <w:sz w:val="20"/>
          <w:szCs w:val="20"/>
          <w:lang w:eastAsia="tr-TR"/>
        </w:rPr>
      </w:pPr>
      <w:r w:rsidRPr="007366EE">
        <w:rPr>
          <w:rFonts w:cs="CenturyGothic"/>
          <w:b/>
          <w:sz w:val="20"/>
          <w:szCs w:val="20"/>
          <w:lang w:eastAsia="tr-TR"/>
        </w:rPr>
        <w:lastRenderedPageBreak/>
        <w:t>Natural Gas Industry in Turkey</w:t>
      </w:r>
    </w:p>
    <w:p w:rsidR="00922BFE" w:rsidRPr="007366EE" w:rsidRDefault="00922BFE" w:rsidP="00CE0266">
      <w:pPr>
        <w:spacing w:after="0"/>
        <w:rPr>
          <w:rFonts w:cs="CenturyGothic"/>
          <w:b/>
          <w:sz w:val="20"/>
          <w:szCs w:val="20"/>
          <w:lang w:eastAsia="tr-TR"/>
        </w:rPr>
      </w:pPr>
      <w:r w:rsidRPr="007366EE">
        <w:rPr>
          <w:rFonts w:cs="CenturyGothic"/>
          <w:b/>
          <w:sz w:val="20"/>
          <w:szCs w:val="20"/>
          <w:lang w:eastAsia="tr-TR"/>
        </w:rPr>
        <w:t>Introduction</w:t>
      </w:r>
    </w:p>
    <w:p w:rsidR="00965D1A" w:rsidRDefault="006431F1" w:rsidP="00CE0266">
      <w:pPr>
        <w:spacing w:after="0"/>
        <w:rPr>
          <w:sz w:val="20"/>
          <w:szCs w:val="20"/>
        </w:rPr>
      </w:pPr>
      <w:r w:rsidRPr="007366EE">
        <w:rPr>
          <w:sz w:val="20"/>
          <w:szCs w:val="20"/>
        </w:rPr>
        <w:t>Turkey</w:t>
      </w:r>
      <w:r w:rsidR="007A0977">
        <w:rPr>
          <w:sz w:val="20"/>
          <w:szCs w:val="20"/>
        </w:rPr>
        <w:t xml:space="preserve"> </w:t>
      </w:r>
      <w:r w:rsidRPr="007366EE">
        <w:rPr>
          <w:sz w:val="20"/>
          <w:szCs w:val="20"/>
        </w:rPr>
        <w:t>has</w:t>
      </w:r>
      <w:r w:rsidR="00922BFE" w:rsidRPr="007366EE">
        <w:rPr>
          <w:sz w:val="20"/>
          <w:szCs w:val="20"/>
        </w:rPr>
        <w:t xml:space="preserve"> </w:t>
      </w:r>
      <w:r w:rsidRPr="007366EE">
        <w:rPr>
          <w:sz w:val="20"/>
          <w:szCs w:val="20"/>
        </w:rPr>
        <w:t>aro</w:t>
      </w:r>
      <w:r w:rsidR="00E21E80">
        <w:rPr>
          <w:sz w:val="20"/>
          <w:szCs w:val="20"/>
        </w:rPr>
        <w:t>und 7</w:t>
      </w:r>
      <w:proofErr w:type="gramStart"/>
      <w:r w:rsidR="00E21E80">
        <w:rPr>
          <w:sz w:val="20"/>
          <w:szCs w:val="20"/>
        </w:rPr>
        <w:t>,4</w:t>
      </w:r>
      <w:proofErr w:type="gramEnd"/>
      <w:r w:rsidR="00E21E80">
        <w:rPr>
          <w:sz w:val="20"/>
          <w:szCs w:val="20"/>
        </w:rPr>
        <w:t xml:space="preserve"> billion cubic meter (m</w:t>
      </w:r>
      <w:r w:rsidR="00E21E80" w:rsidRPr="00E21E80">
        <w:rPr>
          <w:sz w:val="20"/>
          <w:szCs w:val="20"/>
          <w:vertAlign w:val="superscript"/>
        </w:rPr>
        <w:t>3</w:t>
      </w:r>
      <w:r w:rsidR="00E21E80">
        <w:rPr>
          <w:sz w:val="20"/>
          <w:szCs w:val="20"/>
        </w:rPr>
        <w:t xml:space="preserve">) </w:t>
      </w:r>
      <w:r w:rsidR="00922BFE" w:rsidRPr="007366EE">
        <w:rPr>
          <w:sz w:val="20"/>
          <w:szCs w:val="20"/>
        </w:rPr>
        <w:t>of proven natural</w:t>
      </w:r>
      <w:r w:rsidR="00E21E80">
        <w:rPr>
          <w:sz w:val="20"/>
          <w:szCs w:val="20"/>
        </w:rPr>
        <w:t xml:space="preserve"> gas reserves which is yet to be recovered. </w:t>
      </w:r>
      <w:r w:rsidR="00964542" w:rsidRPr="007366EE">
        <w:rPr>
          <w:sz w:val="20"/>
          <w:szCs w:val="20"/>
        </w:rPr>
        <w:t xml:space="preserve">Turkey is a growing consumer of natural gas in its own right, with consumption having increased significantly over the last decade. </w:t>
      </w:r>
      <w:r w:rsidR="00964542">
        <w:rPr>
          <w:sz w:val="20"/>
          <w:szCs w:val="20"/>
        </w:rPr>
        <w:t>T</w:t>
      </w:r>
      <w:r w:rsidR="00E21E80">
        <w:rPr>
          <w:sz w:val="20"/>
          <w:szCs w:val="20"/>
        </w:rPr>
        <w:t xml:space="preserve">he country’s </w:t>
      </w:r>
      <w:r w:rsidRPr="007366EE">
        <w:rPr>
          <w:sz w:val="20"/>
          <w:szCs w:val="20"/>
        </w:rPr>
        <w:t xml:space="preserve">total consumption of </w:t>
      </w:r>
      <w:r w:rsidR="001F7FF9">
        <w:rPr>
          <w:sz w:val="20"/>
          <w:szCs w:val="20"/>
        </w:rPr>
        <w:t xml:space="preserve">natural gas was around </w:t>
      </w:r>
      <w:r w:rsidR="00E21E80">
        <w:rPr>
          <w:sz w:val="20"/>
          <w:szCs w:val="20"/>
        </w:rPr>
        <w:t>35 billion m</w:t>
      </w:r>
      <w:r w:rsidR="00E21E80" w:rsidRPr="00E21E80">
        <w:rPr>
          <w:sz w:val="20"/>
          <w:szCs w:val="20"/>
          <w:vertAlign w:val="superscript"/>
        </w:rPr>
        <w:t>3</w:t>
      </w:r>
      <w:r w:rsidR="00E21E80">
        <w:rPr>
          <w:sz w:val="20"/>
          <w:szCs w:val="20"/>
        </w:rPr>
        <w:t xml:space="preserve"> </w:t>
      </w:r>
      <w:r w:rsidRPr="007366EE">
        <w:rPr>
          <w:sz w:val="20"/>
          <w:szCs w:val="20"/>
        </w:rPr>
        <w:t xml:space="preserve">and </w:t>
      </w:r>
      <w:r w:rsidR="006248A9" w:rsidRPr="007366EE">
        <w:rPr>
          <w:sz w:val="20"/>
          <w:szCs w:val="20"/>
        </w:rPr>
        <w:t>was able to produce</w:t>
      </w:r>
      <w:r w:rsidR="006B2138">
        <w:rPr>
          <w:sz w:val="20"/>
          <w:szCs w:val="20"/>
        </w:rPr>
        <w:t xml:space="preserve"> 900</w:t>
      </w:r>
      <w:r w:rsidRPr="007366EE">
        <w:rPr>
          <w:sz w:val="20"/>
          <w:szCs w:val="20"/>
        </w:rPr>
        <w:t xml:space="preserve"> million</w:t>
      </w:r>
      <w:r w:rsidR="006248A9" w:rsidRPr="007366EE">
        <w:rPr>
          <w:sz w:val="20"/>
          <w:szCs w:val="20"/>
        </w:rPr>
        <w:t xml:space="preserve"> </w:t>
      </w:r>
      <w:r w:rsidR="00E21E80">
        <w:rPr>
          <w:sz w:val="20"/>
          <w:szCs w:val="20"/>
        </w:rPr>
        <w:t>m</w:t>
      </w:r>
      <w:r w:rsidR="00E21E80" w:rsidRPr="00E21E80">
        <w:rPr>
          <w:sz w:val="20"/>
          <w:szCs w:val="20"/>
          <w:vertAlign w:val="superscript"/>
        </w:rPr>
        <w:t>3</w:t>
      </w:r>
      <w:r w:rsidR="006248A9" w:rsidRPr="007366EE">
        <w:rPr>
          <w:sz w:val="20"/>
          <w:szCs w:val="20"/>
        </w:rPr>
        <w:t xml:space="preserve"> only</w:t>
      </w:r>
      <w:r w:rsidRPr="007366EE">
        <w:rPr>
          <w:sz w:val="20"/>
          <w:szCs w:val="20"/>
        </w:rPr>
        <w:t xml:space="preserve"> in 2007</w:t>
      </w:r>
      <w:r w:rsidR="00922BFE" w:rsidRPr="007366EE">
        <w:rPr>
          <w:sz w:val="20"/>
          <w:szCs w:val="20"/>
        </w:rPr>
        <w:t>.</w:t>
      </w:r>
      <w:r w:rsidRPr="007366EE">
        <w:rPr>
          <w:sz w:val="20"/>
          <w:szCs w:val="20"/>
        </w:rPr>
        <w:t xml:space="preserve"> Such a huge gap between consumption and production</w:t>
      </w:r>
      <w:r w:rsidR="008E5BE1" w:rsidRPr="007366EE">
        <w:rPr>
          <w:sz w:val="20"/>
          <w:szCs w:val="20"/>
        </w:rPr>
        <w:t xml:space="preserve"> creates highly profitable opportunities for energy investors.</w:t>
      </w:r>
      <w:r w:rsidRPr="007366EE">
        <w:rPr>
          <w:sz w:val="20"/>
          <w:szCs w:val="20"/>
        </w:rPr>
        <w:t xml:space="preserve"> </w:t>
      </w:r>
      <w:r w:rsidR="008E5BE1" w:rsidRPr="007366EE">
        <w:rPr>
          <w:sz w:val="20"/>
          <w:szCs w:val="20"/>
        </w:rPr>
        <w:t xml:space="preserve">In addition to Turkey’s energy demand, although </w:t>
      </w:r>
      <w:r w:rsidR="00922BFE" w:rsidRPr="007366EE">
        <w:rPr>
          <w:sz w:val="20"/>
          <w:szCs w:val="20"/>
        </w:rPr>
        <w:t xml:space="preserve">Turkey does not have sizeable reserves, it is an important </w:t>
      </w:r>
      <w:r w:rsidR="008E5BE1" w:rsidRPr="007366EE">
        <w:rPr>
          <w:sz w:val="20"/>
          <w:szCs w:val="20"/>
        </w:rPr>
        <w:t>energy</w:t>
      </w:r>
      <w:r w:rsidR="00964542">
        <w:rPr>
          <w:sz w:val="20"/>
          <w:szCs w:val="20"/>
        </w:rPr>
        <w:t xml:space="preserve"> transit country for the transportation of natural gas from the main sources to the main consumer markets, namely from Russia, Middle and Central Asia to Europe.   </w:t>
      </w:r>
    </w:p>
    <w:p w:rsidR="007A0977" w:rsidRDefault="007A0977" w:rsidP="00CE0266">
      <w:pPr>
        <w:spacing w:after="0"/>
        <w:rPr>
          <w:sz w:val="20"/>
          <w:szCs w:val="20"/>
        </w:rPr>
      </w:pPr>
    </w:p>
    <w:tbl>
      <w:tblPr>
        <w:tblStyle w:val="LightGrid-Accent11"/>
        <w:tblW w:w="8208" w:type="dxa"/>
        <w:jc w:val="center"/>
        <w:tblLook w:val="04A0"/>
      </w:tblPr>
      <w:tblGrid>
        <w:gridCol w:w="2178"/>
        <w:gridCol w:w="1620"/>
        <w:gridCol w:w="2070"/>
        <w:gridCol w:w="2340"/>
      </w:tblGrid>
      <w:tr w:rsidR="007A0977" w:rsidRPr="007A0977" w:rsidTr="007A0977">
        <w:trPr>
          <w:cnfStyle w:val="100000000000"/>
          <w:trHeight w:val="242"/>
          <w:jc w:val="center"/>
        </w:trPr>
        <w:tc>
          <w:tcPr>
            <w:cnfStyle w:val="001000000000"/>
            <w:tcW w:w="8208" w:type="dxa"/>
            <w:gridSpan w:val="4"/>
            <w:noWrap/>
            <w:hideMark/>
          </w:tcPr>
          <w:p w:rsidR="007A0977" w:rsidRPr="007A0977" w:rsidRDefault="007A0977" w:rsidP="007A0977">
            <w:pPr>
              <w:spacing w:after="0" w:line="240" w:lineRule="auto"/>
              <w:jc w:val="center"/>
              <w:rPr>
                <w:rFonts w:asciiTheme="minorHAnsi" w:hAnsiTheme="minorHAnsi"/>
                <w:bCs w:val="0"/>
                <w:sz w:val="20"/>
                <w:szCs w:val="20"/>
                <w:lang w:val="tr-TR" w:eastAsia="tr-TR"/>
              </w:rPr>
            </w:pPr>
            <w:r w:rsidRPr="007A0977">
              <w:rPr>
                <w:rFonts w:asciiTheme="minorHAnsi" w:hAnsiTheme="minorHAnsi"/>
                <w:bCs w:val="0"/>
                <w:sz w:val="20"/>
                <w:szCs w:val="20"/>
                <w:lang w:val="tr-TR" w:eastAsia="tr-TR"/>
              </w:rPr>
              <w:t>Natural Gas Reserves (m</w:t>
            </w:r>
            <w:r w:rsidRPr="007A0977">
              <w:rPr>
                <w:rFonts w:asciiTheme="minorHAnsi" w:hAnsiTheme="minorHAnsi"/>
                <w:bCs w:val="0"/>
                <w:sz w:val="20"/>
                <w:szCs w:val="20"/>
                <w:vertAlign w:val="superscript"/>
                <w:lang w:val="tr-TR" w:eastAsia="tr-TR"/>
              </w:rPr>
              <w:t>3</w:t>
            </w:r>
            <w:r w:rsidRPr="007A0977">
              <w:rPr>
                <w:rFonts w:asciiTheme="minorHAnsi" w:hAnsiTheme="minorHAnsi"/>
                <w:bCs w:val="0"/>
                <w:sz w:val="20"/>
                <w:szCs w:val="20"/>
                <w:lang w:val="tr-TR" w:eastAsia="tr-TR"/>
              </w:rPr>
              <w:t>)</w:t>
            </w:r>
            <w:r w:rsidR="00E21E80">
              <w:rPr>
                <w:rFonts w:asciiTheme="minorHAnsi" w:hAnsiTheme="minorHAnsi"/>
                <w:bCs w:val="0"/>
                <w:sz w:val="20"/>
                <w:szCs w:val="20"/>
                <w:lang w:val="tr-TR" w:eastAsia="tr-TR"/>
              </w:rPr>
              <w:t xml:space="preserve"> by the end of 2007</w:t>
            </w:r>
          </w:p>
        </w:tc>
      </w:tr>
      <w:tr w:rsidR="007A0977" w:rsidRPr="007A0977" w:rsidTr="007A0977">
        <w:trPr>
          <w:cnfStyle w:val="000000100000"/>
          <w:trHeight w:val="242"/>
          <w:jc w:val="center"/>
        </w:trPr>
        <w:tc>
          <w:tcPr>
            <w:cnfStyle w:val="001000000000"/>
            <w:tcW w:w="2178" w:type="dxa"/>
            <w:noWrap/>
            <w:hideMark/>
          </w:tcPr>
          <w:p w:rsidR="007A0977" w:rsidRPr="007A0977" w:rsidRDefault="007A0977" w:rsidP="007A0977">
            <w:pPr>
              <w:spacing w:after="0" w:line="240" w:lineRule="auto"/>
              <w:jc w:val="center"/>
              <w:rPr>
                <w:rFonts w:asciiTheme="minorHAnsi" w:hAnsiTheme="minorHAnsi"/>
                <w:sz w:val="18"/>
                <w:szCs w:val="18"/>
                <w:lang w:val="tr-TR" w:eastAsia="tr-TR"/>
              </w:rPr>
            </w:pPr>
            <w:r w:rsidRPr="007A0977">
              <w:rPr>
                <w:rFonts w:asciiTheme="minorHAnsi" w:hAnsiTheme="minorHAnsi"/>
                <w:sz w:val="18"/>
                <w:szCs w:val="18"/>
                <w:lang w:val="tr-TR" w:eastAsia="tr-TR"/>
              </w:rPr>
              <w:t>Original gas in place (*)</w:t>
            </w:r>
          </w:p>
        </w:tc>
        <w:tc>
          <w:tcPr>
            <w:tcW w:w="1620" w:type="dxa"/>
            <w:noWrap/>
            <w:hideMark/>
          </w:tcPr>
          <w:p w:rsidR="007A0977" w:rsidRPr="007A0977" w:rsidRDefault="007A0977" w:rsidP="007A0977">
            <w:pPr>
              <w:spacing w:after="0" w:line="240" w:lineRule="auto"/>
              <w:jc w:val="center"/>
              <w:cnfStyle w:val="000000100000"/>
              <w:rPr>
                <w:rFonts w:asciiTheme="minorHAnsi" w:eastAsia="Times New Roman" w:hAnsiTheme="minorHAnsi"/>
                <w:b/>
                <w:bCs/>
                <w:sz w:val="18"/>
                <w:szCs w:val="18"/>
                <w:lang w:val="tr-TR" w:eastAsia="tr-TR"/>
              </w:rPr>
            </w:pPr>
            <w:r w:rsidRPr="007A0977">
              <w:rPr>
                <w:rFonts w:asciiTheme="minorHAnsi" w:eastAsia="Times New Roman" w:hAnsiTheme="minorHAnsi"/>
                <w:b/>
                <w:bCs/>
                <w:sz w:val="18"/>
                <w:szCs w:val="18"/>
                <w:lang w:val="tr-TR" w:eastAsia="tr-TR"/>
              </w:rPr>
              <w:t>Recoverable gas</w:t>
            </w:r>
          </w:p>
        </w:tc>
        <w:tc>
          <w:tcPr>
            <w:tcW w:w="2070" w:type="dxa"/>
            <w:noWrap/>
            <w:hideMark/>
          </w:tcPr>
          <w:p w:rsidR="007A0977" w:rsidRPr="007A0977" w:rsidRDefault="007A0977" w:rsidP="007A0977">
            <w:pPr>
              <w:spacing w:after="0" w:line="240" w:lineRule="auto"/>
              <w:jc w:val="center"/>
              <w:cnfStyle w:val="000000100000"/>
              <w:rPr>
                <w:rFonts w:asciiTheme="minorHAnsi" w:eastAsia="Times New Roman" w:hAnsiTheme="minorHAnsi"/>
                <w:b/>
                <w:bCs/>
                <w:sz w:val="18"/>
                <w:szCs w:val="18"/>
                <w:lang w:val="tr-TR" w:eastAsia="tr-TR"/>
              </w:rPr>
            </w:pPr>
            <w:r w:rsidRPr="007A0977">
              <w:rPr>
                <w:rFonts w:asciiTheme="minorHAnsi" w:eastAsia="Times New Roman" w:hAnsiTheme="minorHAnsi"/>
                <w:b/>
                <w:bCs/>
                <w:sz w:val="18"/>
                <w:szCs w:val="18"/>
                <w:lang w:val="tr-TR" w:eastAsia="tr-TR"/>
              </w:rPr>
              <w:t>Cumulative production</w:t>
            </w:r>
          </w:p>
        </w:tc>
        <w:tc>
          <w:tcPr>
            <w:tcW w:w="2340" w:type="dxa"/>
            <w:noWrap/>
            <w:hideMark/>
          </w:tcPr>
          <w:p w:rsidR="007A0977" w:rsidRPr="007A0977" w:rsidRDefault="007A0977" w:rsidP="007A0977">
            <w:pPr>
              <w:spacing w:after="0" w:line="240" w:lineRule="auto"/>
              <w:jc w:val="center"/>
              <w:cnfStyle w:val="000000100000"/>
              <w:rPr>
                <w:rFonts w:asciiTheme="minorHAnsi" w:eastAsia="Times New Roman" w:hAnsiTheme="minorHAnsi"/>
                <w:b/>
                <w:bCs/>
                <w:sz w:val="18"/>
                <w:szCs w:val="18"/>
                <w:lang w:val="tr-TR" w:eastAsia="tr-TR"/>
              </w:rPr>
            </w:pPr>
            <w:r w:rsidRPr="007A0977">
              <w:rPr>
                <w:rFonts w:asciiTheme="minorHAnsi" w:eastAsia="Times New Roman" w:hAnsiTheme="minorHAnsi"/>
                <w:b/>
                <w:bCs/>
                <w:sz w:val="18"/>
                <w:szCs w:val="18"/>
                <w:lang w:val="tr-TR" w:eastAsia="tr-TR"/>
              </w:rPr>
              <w:t>Remaining recoverable gas</w:t>
            </w:r>
          </w:p>
        </w:tc>
      </w:tr>
      <w:tr w:rsidR="007A0977" w:rsidRPr="007A0977" w:rsidTr="007A0977">
        <w:trPr>
          <w:cnfStyle w:val="000000010000"/>
          <w:trHeight w:val="269"/>
          <w:jc w:val="center"/>
        </w:trPr>
        <w:tc>
          <w:tcPr>
            <w:cnfStyle w:val="001000000000"/>
            <w:tcW w:w="2178" w:type="dxa"/>
            <w:noWrap/>
            <w:hideMark/>
          </w:tcPr>
          <w:p w:rsidR="007A0977" w:rsidRPr="007A0977" w:rsidRDefault="007A0977" w:rsidP="007A0977">
            <w:pPr>
              <w:spacing w:after="0" w:line="240" w:lineRule="auto"/>
              <w:jc w:val="center"/>
              <w:rPr>
                <w:rFonts w:asciiTheme="minorHAnsi" w:hAnsiTheme="minorHAnsi"/>
                <w:sz w:val="18"/>
                <w:szCs w:val="18"/>
                <w:lang w:val="tr-TR" w:eastAsia="tr-TR"/>
              </w:rPr>
            </w:pPr>
            <w:r w:rsidRPr="007A0977">
              <w:rPr>
                <w:rFonts w:asciiTheme="minorHAnsi" w:hAnsiTheme="minorHAnsi"/>
                <w:sz w:val="18"/>
                <w:szCs w:val="18"/>
                <w:lang w:val="tr-TR" w:eastAsia="tr-TR"/>
              </w:rPr>
              <w:t>2 612 023 177</w:t>
            </w:r>
          </w:p>
        </w:tc>
        <w:tc>
          <w:tcPr>
            <w:tcW w:w="1620" w:type="dxa"/>
            <w:noWrap/>
            <w:hideMark/>
          </w:tcPr>
          <w:p w:rsidR="007A0977" w:rsidRPr="007A0977" w:rsidRDefault="007A0977" w:rsidP="007A0977">
            <w:pPr>
              <w:spacing w:after="0" w:line="240" w:lineRule="auto"/>
              <w:jc w:val="center"/>
              <w:cnfStyle w:val="000000010000"/>
              <w:rPr>
                <w:rFonts w:asciiTheme="minorHAnsi" w:eastAsia="Times New Roman" w:hAnsiTheme="minorHAnsi"/>
                <w:bCs/>
                <w:sz w:val="18"/>
                <w:szCs w:val="18"/>
                <w:lang w:val="tr-TR" w:eastAsia="tr-TR"/>
              </w:rPr>
            </w:pPr>
            <w:r w:rsidRPr="007A0977">
              <w:rPr>
                <w:rFonts w:asciiTheme="minorHAnsi" w:eastAsia="Times New Roman" w:hAnsiTheme="minorHAnsi"/>
                <w:bCs/>
                <w:sz w:val="18"/>
                <w:szCs w:val="18"/>
                <w:lang w:val="tr-TR" w:eastAsia="tr-TR"/>
              </w:rPr>
              <w:t>16 933 224 781</w:t>
            </w:r>
          </w:p>
        </w:tc>
        <w:tc>
          <w:tcPr>
            <w:tcW w:w="2070" w:type="dxa"/>
            <w:noWrap/>
            <w:hideMark/>
          </w:tcPr>
          <w:p w:rsidR="007A0977" w:rsidRPr="007A0977" w:rsidRDefault="007A0977" w:rsidP="007A0977">
            <w:pPr>
              <w:spacing w:after="0" w:line="240" w:lineRule="auto"/>
              <w:jc w:val="center"/>
              <w:cnfStyle w:val="000000010000"/>
              <w:rPr>
                <w:rFonts w:asciiTheme="minorHAnsi" w:eastAsia="Times New Roman" w:hAnsiTheme="minorHAnsi"/>
                <w:bCs/>
                <w:sz w:val="18"/>
                <w:szCs w:val="18"/>
                <w:lang w:val="tr-TR" w:eastAsia="tr-TR"/>
              </w:rPr>
            </w:pPr>
            <w:r w:rsidRPr="007A0977">
              <w:rPr>
                <w:rFonts w:asciiTheme="minorHAnsi" w:eastAsia="Times New Roman" w:hAnsiTheme="minorHAnsi"/>
                <w:bCs/>
                <w:sz w:val="18"/>
                <w:szCs w:val="18"/>
                <w:lang w:val="tr-TR" w:eastAsia="tr-TR"/>
              </w:rPr>
              <w:t>9 559 956 812</w:t>
            </w:r>
          </w:p>
        </w:tc>
        <w:tc>
          <w:tcPr>
            <w:tcW w:w="2340" w:type="dxa"/>
            <w:noWrap/>
            <w:hideMark/>
          </w:tcPr>
          <w:p w:rsidR="007A0977" w:rsidRPr="007A0977" w:rsidRDefault="007A0977" w:rsidP="007A0977">
            <w:pPr>
              <w:tabs>
                <w:tab w:val="center" w:pos="1107"/>
              </w:tabs>
              <w:spacing w:after="0" w:line="240" w:lineRule="auto"/>
              <w:cnfStyle w:val="000000010000"/>
              <w:rPr>
                <w:rFonts w:asciiTheme="minorHAnsi" w:eastAsia="Times New Roman" w:hAnsiTheme="minorHAnsi"/>
                <w:bCs/>
                <w:sz w:val="18"/>
                <w:szCs w:val="18"/>
                <w:lang w:val="tr-TR" w:eastAsia="tr-TR"/>
              </w:rPr>
            </w:pPr>
            <w:r w:rsidRPr="007A0977">
              <w:rPr>
                <w:rFonts w:asciiTheme="minorHAnsi" w:eastAsia="Times New Roman" w:hAnsiTheme="minorHAnsi"/>
                <w:bCs/>
                <w:sz w:val="18"/>
                <w:szCs w:val="18"/>
                <w:lang w:val="tr-TR" w:eastAsia="tr-TR"/>
              </w:rPr>
              <w:tab/>
              <w:t>7 373 267 969</w:t>
            </w:r>
          </w:p>
        </w:tc>
      </w:tr>
    </w:tbl>
    <w:p w:rsidR="007A0977" w:rsidRDefault="007A0977" w:rsidP="007A0977">
      <w:pPr>
        <w:spacing w:after="0"/>
        <w:ind w:firstLine="720"/>
        <w:rPr>
          <w:sz w:val="16"/>
          <w:szCs w:val="16"/>
        </w:rPr>
      </w:pPr>
      <w:r>
        <w:rPr>
          <w:sz w:val="16"/>
          <w:szCs w:val="16"/>
        </w:rPr>
        <w:t xml:space="preserve">*Total probable-possible reserves </w:t>
      </w:r>
      <w:r w:rsidRPr="007A0977">
        <w:rPr>
          <w:b/>
          <w:i/>
          <w:sz w:val="16"/>
          <w:szCs w:val="16"/>
        </w:rPr>
        <w:t>Source:</w:t>
      </w:r>
      <w:r w:rsidRPr="007A0977">
        <w:rPr>
          <w:sz w:val="16"/>
          <w:szCs w:val="16"/>
        </w:rPr>
        <w:t xml:space="preserve"> General Directorate of Petroleum Affairs</w:t>
      </w:r>
    </w:p>
    <w:p w:rsidR="004E678D" w:rsidRDefault="004E678D" w:rsidP="007A0977">
      <w:pPr>
        <w:spacing w:after="0"/>
        <w:ind w:firstLine="720"/>
        <w:rPr>
          <w:sz w:val="16"/>
          <w:szCs w:val="16"/>
        </w:rPr>
      </w:pPr>
    </w:p>
    <w:p w:rsidR="002F19AC" w:rsidRDefault="00F536FB" w:rsidP="002F19AC">
      <w:pPr>
        <w:spacing w:after="0"/>
        <w:ind w:firstLine="720"/>
        <w:jc w:val="center"/>
        <w:rPr>
          <w:sz w:val="16"/>
          <w:szCs w:val="16"/>
        </w:rPr>
      </w:pPr>
      <w:r w:rsidRPr="00F536FB">
        <w:rPr>
          <w:noProof/>
          <w:sz w:val="16"/>
          <w:szCs w:val="16"/>
          <w:lang w:val="tr-TR"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414.1pt;margin-top:44.5pt;width:7.15pt;height:94.85pt;z-index:251658752"/>
        </w:pict>
      </w:r>
      <w:r w:rsidR="004E678D" w:rsidRPr="004E678D">
        <w:rPr>
          <w:noProof/>
          <w:sz w:val="16"/>
          <w:szCs w:val="16"/>
        </w:rPr>
        <w:drawing>
          <wp:inline distT="0" distB="0" distL="0" distR="0">
            <wp:extent cx="4360984" cy="251460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19AC" w:rsidRDefault="00A10E5F" w:rsidP="002F19AC">
      <w:pPr>
        <w:spacing w:after="0"/>
        <w:rPr>
          <w:rFonts w:cs="CenturyGothic"/>
          <w:sz w:val="20"/>
          <w:szCs w:val="20"/>
          <w:lang w:eastAsia="tr-TR"/>
        </w:rPr>
      </w:pPr>
      <w:r>
        <w:rPr>
          <w:rFonts w:cs="CenturyGothic"/>
          <w:sz w:val="20"/>
          <w:szCs w:val="20"/>
          <w:lang w:eastAsia="tr-TR"/>
        </w:rPr>
        <w:t xml:space="preserve">Natural gas demand of the rapidly </w:t>
      </w:r>
      <w:r w:rsidR="002F19AC" w:rsidRPr="007366EE">
        <w:rPr>
          <w:rFonts w:cs="CenturyGothic"/>
          <w:sz w:val="20"/>
          <w:szCs w:val="20"/>
          <w:lang w:eastAsia="tr-TR"/>
        </w:rPr>
        <w:t xml:space="preserve">growing Turkish market is </w:t>
      </w:r>
      <w:r w:rsidR="00DC241B">
        <w:rPr>
          <w:rFonts w:cs="CenturyGothic"/>
          <w:sz w:val="20"/>
          <w:szCs w:val="20"/>
          <w:lang w:eastAsia="tr-TR"/>
        </w:rPr>
        <w:t>met through import</w:t>
      </w:r>
      <w:r w:rsidR="002F19AC" w:rsidRPr="007366EE">
        <w:rPr>
          <w:rFonts w:cs="CenturyGothic"/>
          <w:sz w:val="20"/>
          <w:szCs w:val="20"/>
          <w:lang w:eastAsia="tr-TR"/>
        </w:rPr>
        <w:t>. Turkey purchases na</w:t>
      </w:r>
      <w:r w:rsidR="00935F55">
        <w:rPr>
          <w:rFonts w:cs="CenturyGothic"/>
          <w:sz w:val="20"/>
          <w:szCs w:val="20"/>
          <w:lang w:eastAsia="tr-TR"/>
        </w:rPr>
        <w:t>tural gas directly from the countries</w:t>
      </w:r>
      <w:r w:rsidR="0041328B">
        <w:rPr>
          <w:rFonts w:cs="CenturyGothic"/>
          <w:sz w:val="20"/>
          <w:szCs w:val="20"/>
          <w:lang w:eastAsia="tr-TR"/>
        </w:rPr>
        <w:t xml:space="preserve"> with vast natural gas reserves; from</w:t>
      </w:r>
      <w:r w:rsidR="002F19AC" w:rsidRPr="007366EE">
        <w:rPr>
          <w:rFonts w:cs="CenturyGothic"/>
          <w:sz w:val="20"/>
          <w:szCs w:val="20"/>
          <w:lang w:eastAsia="tr-TR"/>
        </w:rPr>
        <w:t xml:space="preserve"> Russ</w:t>
      </w:r>
      <w:r w:rsidR="00CF1B2C">
        <w:rPr>
          <w:rFonts w:cs="CenturyGothic"/>
          <w:sz w:val="20"/>
          <w:szCs w:val="20"/>
          <w:lang w:eastAsia="tr-TR"/>
        </w:rPr>
        <w:t>ian,</w:t>
      </w:r>
      <w:r w:rsidR="00935F55">
        <w:rPr>
          <w:rFonts w:cs="CenturyGothic"/>
          <w:sz w:val="20"/>
          <w:szCs w:val="20"/>
          <w:lang w:eastAsia="tr-TR"/>
        </w:rPr>
        <w:t xml:space="preserve"> Iran</w:t>
      </w:r>
      <w:r w:rsidR="00CF1B2C">
        <w:rPr>
          <w:rFonts w:cs="CenturyGothic"/>
          <w:sz w:val="20"/>
          <w:szCs w:val="20"/>
          <w:lang w:eastAsia="tr-TR"/>
        </w:rPr>
        <w:t>, Azerbaijan, Nigeria and Algeria.</w:t>
      </w:r>
      <w:r w:rsidR="002F19AC" w:rsidRPr="007366EE">
        <w:rPr>
          <w:rFonts w:cs="CenturyGothic"/>
          <w:sz w:val="20"/>
          <w:szCs w:val="20"/>
          <w:lang w:eastAsia="tr-TR"/>
        </w:rPr>
        <w:t xml:space="preserve"> </w:t>
      </w:r>
      <w:r w:rsidR="00935F55">
        <w:rPr>
          <w:rFonts w:cs="CenturyGothic"/>
          <w:sz w:val="20"/>
          <w:szCs w:val="20"/>
          <w:lang w:eastAsia="tr-TR"/>
        </w:rPr>
        <w:t>Projects are being implemented to transport</w:t>
      </w:r>
      <w:r w:rsidR="002F19AC" w:rsidRPr="007366EE">
        <w:rPr>
          <w:rFonts w:cs="CenturyGothic"/>
          <w:sz w:val="20"/>
          <w:szCs w:val="20"/>
          <w:lang w:eastAsia="tr-TR"/>
        </w:rPr>
        <w:t xml:space="preserve"> natural gas from Egypt, Iraq, Kazakhstan and Tur</w:t>
      </w:r>
      <w:r w:rsidR="00935F55">
        <w:rPr>
          <w:rFonts w:cs="CenturyGothic"/>
          <w:sz w:val="20"/>
          <w:szCs w:val="20"/>
          <w:lang w:eastAsia="tr-TR"/>
        </w:rPr>
        <w:t>kmenistan to European markets</w:t>
      </w:r>
      <w:r w:rsidR="002F19AC" w:rsidRPr="007366EE">
        <w:rPr>
          <w:rFonts w:cs="CenturyGothic"/>
          <w:sz w:val="20"/>
          <w:szCs w:val="20"/>
          <w:lang w:eastAsia="tr-TR"/>
        </w:rPr>
        <w:t>.</w:t>
      </w:r>
    </w:p>
    <w:p w:rsidR="00E1524F" w:rsidRPr="00E1524F" w:rsidRDefault="00E1524F" w:rsidP="00E1524F">
      <w:pPr>
        <w:spacing w:after="0"/>
        <w:jc w:val="center"/>
        <w:rPr>
          <w:rFonts w:eastAsia="Times New Roman"/>
          <w:sz w:val="20"/>
          <w:szCs w:val="20"/>
          <w:lang w:eastAsia="tr-TR"/>
        </w:rPr>
      </w:pPr>
    </w:p>
    <w:tbl>
      <w:tblPr>
        <w:tblStyle w:val="LightGrid-Accent11"/>
        <w:tblW w:w="4896" w:type="pct"/>
        <w:tblInd w:w="108" w:type="dxa"/>
        <w:tblLayout w:type="fixed"/>
        <w:tblLook w:val="04A0"/>
      </w:tblPr>
      <w:tblGrid>
        <w:gridCol w:w="749"/>
        <w:gridCol w:w="2427"/>
        <w:gridCol w:w="747"/>
        <w:gridCol w:w="1680"/>
        <w:gridCol w:w="1030"/>
        <w:gridCol w:w="747"/>
        <w:gridCol w:w="745"/>
        <w:gridCol w:w="945"/>
        <w:gridCol w:w="836"/>
      </w:tblGrid>
      <w:tr w:rsidR="00E1524F" w:rsidRPr="00CF1B2C" w:rsidTr="00CA2C35">
        <w:trPr>
          <w:cnfStyle w:val="100000000000"/>
        </w:trPr>
        <w:tc>
          <w:tcPr>
            <w:cnfStyle w:val="001000000000"/>
            <w:tcW w:w="5000" w:type="pct"/>
            <w:gridSpan w:val="9"/>
            <w:hideMark/>
          </w:tcPr>
          <w:p w:rsidR="00E1524F" w:rsidRPr="00CF1B2C" w:rsidRDefault="00CF1B2C" w:rsidP="00E1524F">
            <w:pPr>
              <w:spacing w:after="0"/>
              <w:jc w:val="center"/>
              <w:rPr>
                <w:rFonts w:asciiTheme="minorHAnsi" w:hAnsiTheme="minorHAnsi"/>
                <w:bCs w:val="0"/>
                <w:sz w:val="16"/>
                <w:szCs w:val="16"/>
                <w:lang w:eastAsia="tr-TR"/>
              </w:rPr>
            </w:pPr>
            <w:r w:rsidRPr="00CF1B2C">
              <w:rPr>
                <w:rFonts w:asciiTheme="minorHAnsi" w:hAnsiTheme="minorHAnsi"/>
                <w:bCs w:val="0"/>
                <w:sz w:val="20"/>
                <w:szCs w:val="20"/>
                <w:lang w:eastAsia="tr-TR"/>
              </w:rPr>
              <w:t xml:space="preserve">Annual Natural Gas Transportation (Million Contract </w:t>
            </w:r>
            <w:r>
              <w:rPr>
                <w:rFonts w:asciiTheme="minorHAnsi" w:hAnsiTheme="minorHAnsi"/>
                <w:bCs w:val="0"/>
                <w:sz w:val="20"/>
                <w:szCs w:val="20"/>
                <w:lang w:eastAsia="tr-TR"/>
              </w:rPr>
              <w:t>m</w:t>
            </w:r>
            <w:r w:rsidRPr="00CF1B2C">
              <w:rPr>
                <w:rFonts w:asciiTheme="minorHAnsi" w:hAnsiTheme="minorHAnsi"/>
                <w:bCs w:val="0"/>
                <w:sz w:val="20"/>
                <w:szCs w:val="20"/>
                <w:vertAlign w:val="superscript"/>
                <w:lang w:eastAsia="tr-TR"/>
              </w:rPr>
              <w:t>3</w:t>
            </w:r>
            <w:r w:rsidRPr="00CF1B2C">
              <w:rPr>
                <w:rFonts w:asciiTheme="minorHAnsi" w:hAnsiTheme="minorHAnsi"/>
                <w:bCs w:val="0"/>
                <w:sz w:val="20"/>
                <w:szCs w:val="20"/>
                <w:lang w:eastAsia="tr-TR"/>
              </w:rPr>
              <w:t>) "Import"</w:t>
            </w:r>
          </w:p>
        </w:tc>
      </w:tr>
      <w:tr w:rsidR="00EE1180" w:rsidRPr="00CF1B2C" w:rsidTr="00CA2C35">
        <w:trPr>
          <w:cnfStyle w:val="00000010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sz w:val="16"/>
                <w:szCs w:val="16"/>
                <w:lang w:eastAsia="tr-TR"/>
              </w:rPr>
              <w:t> </w:t>
            </w:r>
          </w:p>
        </w:tc>
        <w:tc>
          <w:tcPr>
            <w:tcW w:w="1225" w:type="pct"/>
            <w:hideMark/>
          </w:tcPr>
          <w:p w:rsidR="00E1524F" w:rsidRPr="00CF1B2C" w:rsidRDefault="00EE1180" w:rsidP="00EE1180">
            <w:pPr>
              <w:spacing w:after="0"/>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Russia</w:t>
            </w:r>
            <w:r>
              <w:rPr>
                <w:rFonts w:asciiTheme="minorHAnsi" w:eastAsia="Times New Roman" w:hAnsiTheme="minorHAnsi"/>
                <w:b/>
                <w:bCs/>
                <w:sz w:val="16"/>
                <w:szCs w:val="16"/>
                <w:lang w:eastAsia="tr-TR"/>
              </w:rPr>
              <w:t xml:space="preserve"> </w:t>
            </w:r>
            <w:r w:rsidR="00CA2C35">
              <w:rPr>
                <w:rFonts w:asciiTheme="minorHAnsi" w:eastAsia="Times New Roman" w:hAnsiTheme="minorHAnsi"/>
                <w:bCs/>
                <w:sz w:val="16"/>
                <w:szCs w:val="16"/>
                <w:lang w:eastAsia="tr-TR"/>
              </w:rPr>
              <w:t>(</w:t>
            </w:r>
            <w:proofErr w:type="spellStart"/>
            <w:r w:rsidR="00CA2C35">
              <w:rPr>
                <w:rFonts w:asciiTheme="minorHAnsi" w:eastAsia="Times New Roman" w:hAnsiTheme="minorHAnsi"/>
                <w:bCs/>
                <w:sz w:val="16"/>
                <w:szCs w:val="16"/>
                <w:lang w:eastAsia="tr-TR"/>
              </w:rPr>
              <w:t>Gazexport</w:t>
            </w:r>
            <w:proofErr w:type="spellEnd"/>
            <w:r w:rsidR="00CA2C35">
              <w:rPr>
                <w:rFonts w:asciiTheme="minorHAnsi" w:eastAsia="Times New Roman" w:hAnsiTheme="minorHAnsi"/>
                <w:bCs/>
                <w:sz w:val="16"/>
                <w:szCs w:val="16"/>
                <w:lang w:eastAsia="tr-TR"/>
              </w:rPr>
              <w:t xml:space="preserve"> &amp;</w:t>
            </w:r>
            <w:r w:rsidRPr="00EE1180">
              <w:rPr>
                <w:rFonts w:asciiTheme="minorHAnsi" w:eastAsia="Times New Roman" w:hAnsiTheme="minorHAnsi"/>
                <w:bCs/>
                <w:sz w:val="16"/>
                <w:szCs w:val="16"/>
                <w:lang w:eastAsia="tr-TR"/>
              </w:rPr>
              <w:t xml:space="preserve"> </w:t>
            </w:r>
            <w:proofErr w:type="spellStart"/>
            <w:r w:rsidRPr="00EE1180">
              <w:rPr>
                <w:rFonts w:asciiTheme="minorHAnsi" w:eastAsia="Times New Roman" w:hAnsiTheme="minorHAnsi"/>
                <w:bCs/>
                <w:sz w:val="16"/>
                <w:szCs w:val="16"/>
                <w:lang w:eastAsia="tr-TR"/>
              </w:rPr>
              <w:t>Turusgas</w:t>
            </w:r>
            <w:proofErr w:type="spellEnd"/>
            <w:r w:rsidRPr="00EE1180">
              <w:rPr>
                <w:rFonts w:asciiTheme="minorHAnsi" w:eastAsia="Times New Roman" w:hAnsiTheme="minorHAnsi"/>
                <w:bCs/>
                <w:sz w:val="16"/>
                <w:szCs w:val="16"/>
                <w:lang w:eastAsia="tr-TR"/>
              </w:rPr>
              <w:t>)</w:t>
            </w:r>
          </w:p>
        </w:tc>
        <w:tc>
          <w:tcPr>
            <w:tcW w:w="377" w:type="pct"/>
            <w:hideMark/>
          </w:tcPr>
          <w:p w:rsidR="00E1524F" w:rsidRPr="00CF1B2C" w:rsidRDefault="00EE1180"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Iran</w:t>
            </w:r>
          </w:p>
        </w:tc>
        <w:tc>
          <w:tcPr>
            <w:tcW w:w="848" w:type="pct"/>
            <w:hideMark/>
          </w:tcPr>
          <w:p w:rsidR="00E1524F" w:rsidRPr="00CF1B2C" w:rsidRDefault="00EE1180" w:rsidP="00EE1180">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 xml:space="preserve">Russia </w:t>
            </w:r>
            <w:r w:rsidRPr="00CF1B2C">
              <w:rPr>
                <w:rFonts w:asciiTheme="minorHAnsi" w:eastAsia="Times New Roman" w:hAnsiTheme="minorHAnsi"/>
                <w:bCs/>
                <w:sz w:val="16"/>
                <w:szCs w:val="16"/>
                <w:lang w:eastAsia="tr-TR"/>
              </w:rPr>
              <w:t>(blue stream)</w:t>
            </w:r>
          </w:p>
        </w:tc>
        <w:tc>
          <w:tcPr>
            <w:tcW w:w="520" w:type="pct"/>
            <w:hideMark/>
          </w:tcPr>
          <w:p w:rsidR="00E1524F" w:rsidRPr="00CF1B2C" w:rsidRDefault="00EE1180"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Azerbaijan</w:t>
            </w:r>
          </w:p>
        </w:tc>
        <w:tc>
          <w:tcPr>
            <w:tcW w:w="377" w:type="pct"/>
            <w:hideMark/>
          </w:tcPr>
          <w:p w:rsidR="00E1524F" w:rsidRPr="00CF1B2C" w:rsidRDefault="00EE1180"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Nigeria</w:t>
            </w:r>
          </w:p>
        </w:tc>
        <w:tc>
          <w:tcPr>
            <w:tcW w:w="376" w:type="pct"/>
            <w:hideMark/>
          </w:tcPr>
          <w:p w:rsidR="00E1524F" w:rsidRPr="00CF1B2C" w:rsidRDefault="00EE1180"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Algeria</w:t>
            </w:r>
          </w:p>
        </w:tc>
        <w:tc>
          <w:tcPr>
            <w:tcW w:w="477" w:type="pct"/>
            <w:hideMark/>
          </w:tcPr>
          <w:p w:rsidR="00E1524F" w:rsidRPr="00CF1B2C" w:rsidRDefault="00EE1180" w:rsidP="00EE1180">
            <w:pPr>
              <w:spacing w:after="0"/>
              <w:jc w:val="center"/>
              <w:cnfStyle w:val="000000100000"/>
              <w:rPr>
                <w:rFonts w:asciiTheme="minorHAnsi" w:eastAsia="Times New Roman" w:hAnsiTheme="minorHAnsi"/>
                <w:sz w:val="16"/>
                <w:szCs w:val="16"/>
                <w:lang w:eastAsia="tr-TR"/>
              </w:rPr>
            </w:pPr>
            <w:r>
              <w:rPr>
                <w:rFonts w:asciiTheme="minorHAnsi" w:eastAsia="Times New Roman" w:hAnsiTheme="minorHAnsi"/>
                <w:b/>
                <w:bCs/>
                <w:sz w:val="16"/>
                <w:szCs w:val="16"/>
                <w:lang w:eastAsia="tr-TR"/>
              </w:rPr>
              <w:t>Spot LNG</w:t>
            </w:r>
          </w:p>
        </w:tc>
        <w:tc>
          <w:tcPr>
            <w:tcW w:w="421" w:type="pct"/>
            <w:hideMark/>
          </w:tcPr>
          <w:p w:rsidR="00E1524F" w:rsidRPr="00CF1B2C" w:rsidRDefault="00EE1180"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b/>
                <w:bCs/>
                <w:sz w:val="16"/>
                <w:szCs w:val="16"/>
                <w:lang w:eastAsia="tr-TR"/>
              </w:rPr>
              <w:t>Total</w:t>
            </w:r>
          </w:p>
        </w:tc>
      </w:tr>
      <w:tr w:rsidR="00EE1180" w:rsidRPr="00CF1B2C" w:rsidTr="00CA2C35">
        <w:trPr>
          <w:cnfStyle w:val="00000001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2002</w:t>
            </w:r>
          </w:p>
        </w:tc>
        <w:tc>
          <w:tcPr>
            <w:tcW w:w="1225"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11.603</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669</w:t>
            </w:r>
          </w:p>
        </w:tc>
        <w:tc>
          <w:tcPr>
            <w:tcW w:w="848"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520"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1.274</w:t>
            </w:r>
          </w:p>
        </w:tc>
        <w:tc>
          <w:tcPr>
            <w:tcW w:w="376"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4.078</w:t>
            </w:r>
          </w:p>
        </w:tc>
        <w:tc>
          <w:tcPr>
            <w:tcW w:w="4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421"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17.624</w:t>
            </w:r>
          </w:p>
        </w:tc>
      </w:tr>
      <w:tr w:rsidR="00EE1180" w:rsidRPr="00CF1B2C" w:rsidTr="00CA2C35">
        <w:trPr>
          <w:cnfStyle w:val="00000010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2003</w:t>
            </w:r>
          </w:p>
        </w:tc>
        <w:tc>
          <w:tcPr>
            <w:tcW w:w="1225"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11.422</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3.520</w:t>
            </w:r>
          </w:p>
        </w:tc>
        <w:tc>
          <w:tcPr>
            <w:tcW w:w="848"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1.252</w:t>
            </w:r>
          </w:p>
        </w:tc>
        <w:tc>
          <w:tcPr>
            <w:tcW w:w="520"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1.126</w:t>
            </w:r>
          </w:p>
        </w:tc>
        <w:tc>
          <w:tcPr>
            <w:tcW w:w="376"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3.867</w:t>
            </w:r>
          </w:p>
        </w:tc>
        <w:tc>
          <w:tcPr>
            <w:tcW w:w="4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421"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21.188</w:t>
            </w:r>
          </w:p>
        </w:tc>
      </w:tr>
      <w:tr w:rsidR="00EE1180" w:rsidRPr="00CF1B2C" w:rsidTr="00CA2C35">
        <w:trPr>
          <w:cnfStyle w:val="00000001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2004</w:t>
            </w:r>
          </w:p>
        </w:tc>
        <w:tc>
          <w:tcPr>
            <w:tcW w:w="1225"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11.106</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3.558</w:t>
            </w:r>
          </w:p>
        </w:tc>
        <w:tc>
          <w:tcPr>
            <w:tcW w:w="848"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3.238</w:t>
            </w:r>
          </w:p>
        </w:tc>
        <w:tc>
          <w:tcPr>
            <w:tcW w:w="520"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1.034</w:t>
            </w:r>
          </w:p>
        </w:tc>
        <w:tc>
          <w:tcPr>
            <w:tcW w:w="376"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3.237</w:t>
            </w:r>
          </w:p>
        </w:tc>
        <w:tc>
          <w:tcPr>
            <w:tcW w:w="4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421"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22.174</w:t>
            </w:r>
          </w:p>
        </w:tc>
      </w:tr>
      <w:tr w:rsidR="00EE1180" w:rsidRPr="00CF1B2C" w:rsidTr="00CA2C35">
        <w:trPr>
          <w:cnfStyle w:val="00000010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2005</w:t>
            </w:r>
          </w:p>
        </w:tc>
        <w:tc>
          <w:tcPr>
            <w:tcW w:w="1225"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12.857</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4.322</w:t>
            </w:r>
          </w:p>
        </w:tc>
        <w:tc>
          <w:tcPr>
            <w:tcW w:w="848"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4.969</w:t>
            </w:r>
          </w:p>
        </w:tc>
        <w:tc>
          <w:tcPr>
            <w:tcW w:w="520"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1.030</w:t>
            </w:r>
          </w:p>
        </w:tc>
        <w:tc>
          <w:tcPr>
            <w:tcW w:w="376"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3.851</w:t>
            </w:r>
          </w:p>
        </w:tc>
        <w:tc>
          <w:tcPr>
            <w:tcW w:w="4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421"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27.028</w:t>
            </w:r>
          </w:p>
        </w:tc>
      </w:tr>
      <w:tr w:rsidR="00EE1180" w:rsidRPr="00CF1B2C" w:rsidTr="00CA2C35">
        <w:trPr>
          <w:cnfStyle w:val="000000010000"/>
        </w:trPr>
        <w:tc>
          <w:tcPr>
            <w:cnfStyle w:val="001000000000"/>
            <w:tcW w:w="378" w:type="pct"/>
            <w:hideMark/>
          </w:tcPr>
          <w:p w:rsidR="00E1524F" w:rsidRPr="00CF1B2C" w:rsidRDefault="00E1524F" w:rsidP="00E1524F">
            <w:pPr>
              <w:tabs>
                <w:tab w:val="center" w:pos="417"/>
              </w:tabs>
              <w:spacing w:after="0"/>
              <w:rPr>
                <w:rFonts w:asciiTheme="minorHAnsi" w:hAnsiTheme="minorHAnsi"/>
                <w:sz w:val="16"/>
                <w:szCs w:val="16"/>
                <w:lang w:eastAsia="tr-TR"/>
              </w:rPr>
            </w:pPr>
            <w:r w:rsidRPr="00CF1B2C">
              <w:rPr>
                <w:rFonts w:asciiTheme="minorHAnsi" w:hAnsiTheme="minorHAnsi"/>
                <w:b w:val="0"/>
                <w:bCs w:val="0"/>
                <w:sz w:val="16"/>
                <w:szCs w:val="16"/>
                <w:lang w:eastAsia="tr-TR"/>
              </w:rPr>
              <w:tab/>
              <w:t>2006</w:t>
            </w:r>
          </w:p>
        </w:tc>
        <w:tc>
          <w:tcPr>
            <w:tcW w:w="1225"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12.246</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5.691</w:t>
            </w:r>
          </w:p>
        </w:tc>
        <w:tc>
          <w:tcPr>
            <w:tcW w:w="848"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7.403</w:t>
            </w:r>
          </w:p>
        </w:tc>
        <w:tc>
          <w:tcPr>
            <w:tcW w:w="520"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1.118</w:t>
            </w:r>
          </w:p>
        </w:tc>
        <w:tc>
          <w:tcPr>
            <w:tcW w:w="376"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4.203</w:t>
            </w:r>
          </w:p>
        </w:tc>
        <w:tc>
          <w:tcPr>
            <w:tcW w:w="4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80</w:t>
            </w:r>
          </w:p>
        </w:tc>
        <w:tc>
          <w:tcPr>
            <w:tcW w:w="421"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30.741</w:t>
            </w:r>
          </w:p>
        </w:tc>
      </w:tr>
      <w:tr w:rsidR="00EE1180" w:rsidRPr="00CF1B2C" w:rsidTr="00CA2C35">
        <w:trPr>
          <w:cnfStyle w:val="00000010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2007</w:t>
            </w:r>
          </w:p>
        </w:tc>
        <w:tc>
          <w:tcPr>
            <w:tcW w:w="1225"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13.799</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6.158</w:t>
            </w:r>
          </w:p>
        </w:tc>
        <w:tc>
          <w:tcPr>
            <w:tcW w:w="848"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9.346</w:t>
            </w:r>
          </w:p>
        </w:tc>
        <w:tc>
          <w:tcPr>
            <w:tcW w:w="520"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1.279</w:t>
            </w:r>
          </w:p>
        </w:tc>
        <w:tc>
          <w:tcPr>
            <w:tcW w:w="3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1.420</w:t>
            </w:r>
          </w:p>
        </w:tc>
        <w:tc>
          <w:tcPr>
            <w:tcW w:w="376"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4.277</w:t>
            </w:r>
          </w:p>
        </w:tc>
        <w:tc>
          <w:tcPr>
            <w:tcW w:w="477"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170</w:t>
            </w:r>
          </w:p>
        </w:tc>
        <w:tc>
          <w:tcPr>
            <w:tcW w:w="421" w:type="pct"/>
            <w:hideMark/>
          </w:tcPr>
          <w:p w:rsidR="00E1524F" w:rsidRPr="00CF1B2C" w:rsidRDefault="00E1524F" w:rsidP="00E1524F">
            <w:pPr>
              <w:spacing w:after="0"/>
              <w:jc w:val="center"/>
              <w:cnfStyle w:val="00000010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36.450</w:t>
            </w:r>
          </w:p>
        </w:tc>
      </w:tr>
      <w:tr w:rsidR="00EE1180" w:rsidRPr="00CF1B2C" w:rsidTr="00CA2C35">
        <w:trPr>
          <w:cnfStyle w:val="000000010000"/>
        </w:trPr>
        <w:tc>
          <w:tcPr>
            <w:cnfStyle w:val="001000000000"/>
            <w:tcW w:w="378" w:type="pct"/>
            <w:hideMark/>
          </w:tcPr>
          <w:p w:rsidR="00E1524F" w:rsidRPr="00CF1B2C" w:rsidRDefault="00E1524F" w:rsidP="00E1524F">
            <w:pPr>
              <w:spacing w:after="0"/>
              <w:jc w:val="center"/>
              <w:rPr>
                <w:rFonts w:asciiTheme="minorHAnsi" w:hAnsiTheme="minorHAnsi"/>
                <w:sz w:val="16"/>
                <w:szCs w:val="16"/>
                <w:lang w:eastAsia="tr-TR"/>
              </w:rPr>
            </w:pPr>
            <w:r w:rsidRPr="00CF1B2C">
              <w:rPr>
                <w:rFonts w:asciiTheme="minorHAnsi" w:hAnsiTheme="minorHAnsi"/>
                <w:b w:val="0"/>
                <w:bCs w:val="0"/>
                <w:sz w:val="16"/>
                <w:szCs w:val="16"/>
                <w:lang w:eastAsia="tr-TR"/>
              </w:rPr>
              <w:t>2008</w:t>
            </w:r>
            <w:r w:rsidR="00CF1B2C">
              <w:rPr>
                <w:rFonts w:asciiTheme="minorHAnsi" w:hAnsiTheme="minorHAnsi"/>
                <w:b w:val="0"/>
                <w:bCs w:val="0"/>
                <w:sz w:val="16"/>
                <w:szCs w:val="16"/>
                <w:lang w:eastAsia="tr-TR"/>
              </w:rPr>
              <w:t>*</w:t>
            </w:r>
          </w:p>
        </w:tc>
        <w:tc>
          <w:tcPr>
            <w:tcW w:w="1225"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8.013</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2.253</w:t>
            </w:r>
          </w:p>
        </w:tc>
        <w:tc>
          <w:tcPr>
            <w:tcW w:w="848"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6.068</w:t>
            </w:r>
          </w:p>
        </w:tc>
        <w:tc>
          <w:tcPr>
            <w:tcW w:w="520"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2.620</w:t>
            </w:r>
          </w:p>
        </w:tc>
        <w:tc>
          <w:tcPr>
            <w:tcW w:w="3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717</w:t>
            </w:r>
          </w:p>
        </w:tc>
        <w:tc>
          <w:tcPr>
            <w:tcW w:w="376"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2.743</w:t>
            </w:r>
          </w:p>
        </w:tc>
        <w:tc>
          <w:tcPr>
            <w:tcW w:w="477"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339</w:t>
            </w:r>
          </w:p>
        </w:tc>
        <w:tc>
          <w:tcPr>
            <w:tcW w:w="421" w:type="pct"/>
            <w:hideMark/>
          </w:tcPr>
          <w:p w:rsidR="00E1524F" w:rsidRPr="00CF1B2C" w:rsidRDefault="00E1524F" w:rsidP="00E1524F">
            <w:pPr>
              <w:spacing w:after="0"/>
              <w:jc w:val="center"/>
              <w:cnfStyle w:val="000000010000"/>
              <w:rPr>
                <w:rFonts w:asciiTheme="minorHAnsi" w:eastAsia="Times New Roman" w:hAnsiTheme="minorHAnsi"/>
                <w:sz w:val="16"/>
                <w:szCs w:val="16"/>
                <w:lang w:eastAsia="tr-TR"/>
              </w:rPr>
            </w:pPr>
            <w:r w:rsidRPr="00CF1B2C">
              <w:rPr>
                <w:rFonts w:asciiTheme="minorHAnsi" w:eastAsia="Times New Roman" w:hAnsiTheme="minorHAnsi"/>
                <w:sz w:val="16"/>
                <w:szCs w:val="16"/>
                <w:lang w:eastAsia="tr-TR"/>
              </w:rPr>
              <w:t>22.752</w:t>
            </w:r>
          </w:p>
        </w:tc>
      </w:tr>
    </w:tbl>
    <w:p w:rsidR="00E1524F" w:rsidRDefault="00E1524F" w:rsidP="00CF1B2C">
      <w:pPr>
        <w:spacing w:after="0" w:line="240" w:lineRule="auto"/>
        <w:rPr>
          <w:rFonts w:eastAsia="Times New Roman"/>
          <w:sz w:val="16"/>
          <w:szCs w:val="16"/>
          <w:lang w:eastAsia="tr-TR"/>
        </w:rPr>
      </w:pPr>
      <w:r w:rsidRPr="00E1524F">
        <w:rPr>
          <w:rFonts w:eastAsia="Times New Roman"/>
          <w:sz w:val="16"/>
          <w:szCs w:val="16"/>
          <w:lang w:eastAsia="tr-TR"/>
        </w:rPr>
        <w:t>* As of July</w:t>
      </w:r>
      <w:r w:rsidR="00CF1B2C">
        <w:rPr>
          <w:rFonts w:eastAsia="Times New Roman"/>
          <w:sz w:val="16"/>
          <w:szCs w:val="16"/>
          <w:lang w:eastAsia="tr-TR"/>
        </w:rPr>
        <w:t xml:space="preserve"> </w:t>
      </w:r>
      <w:r w:rsidRPr="00E1524F">
        <w:rPr>
          <w:rFonts w:eastAsia="Times New Roman"/>
          <w:b/>
          <w:i/>
          <w:sz w:val="16"/>
          <w:szCs w:val="16"/>
          <w:lang w:eastAsia="tr-TR"/>
        </w:rPr>
        <w:t>Source:</w:t>
      </w:r>
      <w:r>
        <w:rPr>
          <w:rFonts w:eastAsia="Times New Roman"/>
          <w:sz w:val="16"/>
          <w:szCs w:val="16"/>
          <w:lang w:eastAsia="tr-TR"/>
        </w:rPr>
        <w:t xml:space="preserve"> BOTAS</w:t>
      </w:r>
    </w:p>
    <w:p w:rsidR="00EE1180" w:rsidRPr="00E1524F" w:rsidRDefault="00EE1180" w:rsidP="00CF1B2C">
      <w:pPr>
        <w:spacing w:after="0" w:line="240" w:lineRule="auto"/>
        <w:rPr>
          <w:rFonts w:eastAsia="Times New Roman"/>
          <w:sz w:val="16"/>
          <w:szCs w:val="16"/>
          <w:lang w:eastAsia="tr-TR"/>
        </w:rPr>
      </w:pPr>
    </w:p>
    <w:p w:rsidR="00802418" w:rsidRDefault="006C32F3" w:rsidP="00802418">
      <w:pPr>
        <w:spacing w:after="0"/>
        <w:jc w:val="both"/>
        <w:rPr>
          <w:rFonts w:eastAsia="Times New Roman"/>
          <w:sz w:val="20"/>
          <w:szCs w:val="20"/>
          <w:lang w:eastAsia="tr-TR"/>
        </w:rPr>
      </w:pPr>
      <w:r w:rsidRPr="006C32F3">
        <w:rPr>
          <w:rFonts w:eastAsia="Times New Roman"/>
          <w:sz w:val="20"/>
          <w:szCs w:val="20"/>
          <w:lang w:eastAsia="tr-TR"/>
        </w:rPr>
        <w:t xml:space="preserve">In </w:t>
      </w:r>
      <w:r>
        <w:rPr>
          <w:rFonts w:eastAsia="Times New Roman"/>
          <w:sz w:val="20"/>
          <w:szCs w:val="20"/>
          <w:lang w:eastAsia="tr-TR"/>
        </w:rPr>
        <w:t>2007, totally 13.799 million m</w:t>
      </w:r>
      <w:r>
        <w:rPr>
          <w:rFonts w:eastAsia="Times New Roman"/>
          <w:sz w:val="20"/>
          <w:szCs w:val="20"/>
          <w:vertAlign w:val="superscript"/>
          <w:lang w:eastAsia="tr-TR"/>
        </w:rPr>
        <w:t>3</w:t>
      </w:r>
      <w:r>
        <w:rPr>
          <w:rFonts w:eastAsia="Times New Roman"/>
          <w:sz w:val="20"/>
          <w:szCs w:val="20"/>
          <w:lang w:eastAsia="tr-TR"/>
        </w:rPr>
        <w:t xml:space="preserve"> </w:t>
      </w:r>
      <w:r w:rsidRPr="006C32F3">
        <w:rPr>
          <w:rFonts w:eastAsia="Times New Roman"/>
          <w:sz w:val="20"/>
          <w:szCs w:val="20"/>
          <w:lang w:eastAsia="tr-TR"/>
        </w:rPr>
        <w:t xml:space="preserve">of natural gas was imported from the Russian Federation through </w:t>
      </w:r>
      <w:proofErr w:type="spellStart"/>
      <w:r w:rsidRPr="006C32F3">
        <w:rPr>
          <w:rFonts w:eastAsia="Times New Roman"/>
          <w:sz w:val="20"/>
          <w:szCs w:val="20"/>
          <w:lang w:eastAsia="tr-TR"/>
        </w:rPr>
        <w:t>Gazexport</w:t>
      </w:r>
      <w:proofErr w:type="spellEnd"/>
      <w:r w:rsidRPr="006C32F3">
        <w:rPr>
          <w:rFonts w:eastAsia="Times New Roman"/>
          <w:sz w:val="20"/>
          <w:szCs w:val="20"/>
          <w:lang w:eastAsia="tr-TR"/>
        </w:rPr>
        <w:t xml:space="preserve"> and </w:t>
      </w:r>
      <w:proofErr w:type="spellStart"/>
      <w:r w:rsidRPr="006C32F3">
        <w:rPr>
          <w:rFonts w:eastAsia="Times New Roman"/>
          <w:sz w:val="20"/>
          <w:szCs w:val="20"/>
          <w:lang w:eastAsia="tr-TR"/>
        </w:rPr>
        <w:t>Turusgas</w:t>
      </w:r>
      <w:proofErr w:type="spellEnd"/>
      <w:r w:rsidRPr="006C32F3">
        <w:rPr>
          <w:rFonts w:eastAsia="Times New Roman"/>
          <w:sz w:val="20"/>
          <w:szCs w:val="20"/>
          <w:lang w:eastAsia="tr-TR"/>
        </w:rPr>
        <w:t xml:space="preserve"> and also </w:t>
      </w:r>
      <w:r>
        <w:rPr>
          <w:rFonts w:eastAsia="Times New Roman"/>
          <w:sz w:val="20"/>
          <w:szCs w:val="20"/>
          <w:lang w:eastAsia="tr-TR"/>
        </w:rPr>
        <w:t>9.346 m</w:t>
      </w:r>
      <w:r w:rsidRPr="006C32F3">
        <w:rPr>
          <w:rFonts w:eastAsia="Times New Roman"/>
          <w:sz w:val="20"/>
          <w:szCs w:val="20"/>
          <w:lang w:eastAsia="tr-TR"/>
        </w:rPr>
        <w:t xml:space="preserve">illion </w:t>
      </w:r>
      <w:r>
        <w:rPr>
          <w:rFonts w:eastAsia="Times New Roman"/>
          <w:sz w:val="20"/>
          <w:szCs w:val="20"/>
          <w:lang w:eastAsia="tr-TR"/>
        </w:rPr>
        <w:t>m</w:t>
      </w:r>
      <w:r>
        <w:rPr>
          <w:rFonts w:eastAsia="Times New Roman"/>
          <w:sz w:val="20"/>
          <w:szCs w:val="20"/>
          <w:vertAlign w:val="superscript"/>
          <w:lang w:eastAsia="tr-TR"/>
        </w:rPr>
        <w:t>3</w:t>
      </w:r>
      <w:r w:rsidRPr="006C32F3">
        <w:rPr>
          <w:rFonts w:eastAsia="Times New Roman"/>
          <w:sz w:val="20"/>
          <w:szCs w:val="20"/>
          <w:lang w:eastAsia="tr-TR"/>
        </w:rPr>
        <w:t xml:space="preserve"> of natural gas was imported via the Blue Stream Pipeline, 1.420 </w:t>
      </w:r>
      <w:r>
        <w:rPr>
          <w:rFonts w:eastAsia="Times New Roman"/>
          <w:sz w:val="20"/>
          <w:szCs w:val="20"/>
          <w:lang w:eastAsia="tr-TR"/>
        </w:rPr>
        <w:t>m</w:t>
      </w:r>
      <w:r w:rsidRPr="006C32F3">
        <w:rPr>
          <w:rFonts w:eastAsia="Times New Roman"/>
          <w:sz w:val="20"/>
          <w:szCs w:val="20"/>
          <w:lang w:eastAsia="tr-TR"/>
        </w:rPr>
        <w:t xml:space="preserve">illion </w:t>
      </w:r>
      <w:r>
        <w:rPr>
          <w:rFonts w:eastAsia="Times New Roman"/>
          <w:sz w:val="20"/>
          <w:szCs w:val="20"/>
          <w:lang w:eastAsia="tr-TR"/>
        </w:rPr>
        <w:t>m</w:t>
      </w:r>
      <w:r>
        <w:rPr>
          <w:rFonts w:eastAsia="Times New Roman"/>
          <w:sz w:val="20"/>
          <w:szCs w:val="20"/>
          <w:vertAlign w:val="superscript"/>
          <w:lang w:eastAsia="tr-TR"/>
        </w:rPr>
        <w:t>3</w:t>
      </w:r>
      <w:r w:rsidRPr="006C32F3">
        <w:rPr>
          <w:rFonts w:eastAsia="Times New Roman"/>
          <w:sz w:val="20"/>
          <w:szCs w:val="20"/>
          <w:lang w:eastAsia="tr-TR"/>
        </w:rPr>
        <w:t xml:space="preserve">, 4.277 </w:t>
      </w:r>
      <w:r w:rsidR="0021703F">
        <w:rPr>
          <w:rFonts w:eastAsia="Times New Roman"/>
          <w:sz w:val="20"/>
          <w:szCs w:val="20"/>
          <w:lang w:eastAsia="tr-TR"/>
        </w:rPr>
        <w:t>million m</w:t>
      </w:r>
      <w:r w:rsidR="0021703F">
        <w:rPr>
          <w:rFonts w:eastAsia="Times New Roman"/>
          <w:sz w:val="20"/>
          <w:szCs w:val="20"/>
          <w:vertAlign w:val="superscript"/>
          <w:lang w:eastAsia="tr-TR"/>
        </w:rPr>
        <w:t>3</w:t>
      </w:r>
      <w:r w:rsidRPr="006C32F3">
        <w:rPr>
          <w:rFonts w:eastAsia="Times New Roman"/>
          <w:sz w:val="20"/>
          <w:szCs w:val="20"/>
          <w:lang w:eastAsia="tr-TR"/>
        </w:rPr>
        <w:t xml:space="preserve"> and 170 </w:t>
      </w:r>
      <w:r>
        <w:rPr>
          <w:rFonts w:eastAsia="Times New Roman"/>
          <w:sz w:val="20"/>
          <w:szCs w:val="20"/>
          <w:lang w:eastAsia="tr-TR"/>
        </w:rPr>
        <w:t>m</w:t>
      </w:r>
      <w:r w:rsidRPr="006C32F3">
        <w:rPr>
          <w:rFonts w:eastAsia="Times New Roman"/>
          <w:sz w:val="20"/>
          <w:szCs w:val="20"/>
          <w:lang w:eastAsia="tr-TR"/>
        </w:rPr>
        <w:t xml:space="preserve">illion </w:t>
      </w:r>
      <w:r>
        <w:rPr>
          <w:rFonts w:eastAsia="Times New Roman"/>
          <w:sz w:val="20"/>
          <w:szCs w:val="20"/>
          <w:lang w:eastAsia="tr-TR"/>
        </w:rPr>
        <w:t>m</w:t>
      </w:r>
      <w:r>
        <w:rPr>
          <w:rFonts w:eastAsia="Times New Roman"/>
          <w:sz w:val="20"/>
          <w:szCs w:val="20"/>
          <w:vertAlign w:val="superscript"/>
          <w:lang w:eastAsia="tr-TR"/>
        </w:rPr>
        <w:t>3</w:t>
      </w:r>
      <w:r w:rsidRPr="006C32F3">
        <w:rPr>
          <w:rFonts w:eastAsia="Times New Roman"/>
          <w:sz w:val="20"/>
          <w:szCs w:val="20"/>
          <w:lang w:eastAsia="tr-TR"/>
        </w:rPr>
        <w:t xml:space="preserve"> of natural gas equivalent of LNG was imported from Nigeria, Algeria and spot LNG market respectively. </w:t>
      </w:r>
      <w:r w:rsidR="0021703F">
        <w:rPr>
          <w:rFonts w:eastAsia="Times New Roman"/>
          <w:sz w:val="20"/>
          <w:szCs w:val="20"/>
          <w:lang w:eastAsia="tr-TR"/>
        </w:rPr>
        <w:t xml:space="preserve">In addition to that, </w:t>
      </w:r>
      <w:proofErr w:type="gramStart"/>
      <w:r w:rsidRPr="006C32F3">
        <w:rPr>
          <w:rFonts w:eastAsia="Times New Roman"/>
          <w:sz w:val="20"/>
          <w:szCs w:val="20"/>
          <w:lang w:eastAsia="tr-TR"/>
        </w:rPr>
        <w:t xml:space="preserve">6.158 </w:t>
      </w:r>
      <w:r>
        <w:rPr>
          <w:rFonts w:eastAsia="Times New Roman"/>
          <w:sz w:val="20"/>
          <w:szCs w:val="20"/>
          <w:lang w:eastAsia="tr-TR"/>
        </w:rPr>
        <w:t>m</w:t>
      </w:r>
      <w:r w:rsidRPr="006C32F3">
        <w:rPr>
          <w:rFonts w:eastAsia="Times New Roman"/>
          <w:sz w:val="20"/>
          <w:szCs w:val="20"/>
          <w:lang w:eastAsia="tr-TR"/>
        </w:rPr>
        <w:t xml:space="preserve">illion </w:t>
      </w:r>
      <w:r>
        <w:rPr>
          <w:rFonts w:eastAsia="Times New Roman"/>
          <w:sz w:val="20"/>
          <w:szCs w:val="20"/>
          <w:lang w:eastAsia="tr-TR"/>
        </w:rPr>
        <w:t>m</w:t>
      </w:r>
      <w:r>
        <w:rPr>
          <w:rFonts w:eastAsia="Times New Roman"/>
          <w:sz w:val="20"/>
          <w:szCs w:val="20"/>
          <w:vertAlign w:val="superscript"/>
          <w:lang w:eastAsia="tr-TR"/>
        </w:rPr>
        <w:t>3</w:t>
      </w:r>
      <w:r w:rsidRPr="006C32F3">
        <w:rPr>
          <w:rFonts w:eastAsia="Times New Roman"/>
          <w:sz w:val="20"/>
          <w:szCs w:val="20"/>
          <w:lang w:eastAsia="tr-TR"/>
        </w:rPr>
        <w:t xml:space="preserve"> Natura</w:t>
      </w:r>
      <w:r>
        <w:rPr>
          <w:rFonts w:eastAsia="Times New Roman"/>
          <w:sz w:val="20"/>
          <w:szCs w:val="20"/>
          <w:lang w:eastAsia="tr-TR"/>
        </w:rPr>
        <w:t>l gas from I</w:t>
      </w:r>
      <w:r w:rsidRPr="006C32F3">
        <w:rPr>
          <w:rFonts w:eastAsia="Times New Roman"/>
          <w:sz w:val="20"/>
          <w:szCs w:val="20"/>
          <w:lang w:eastAsia="tr-TR"/>
        </w:rPr>
        <w:t>ran</w:t>
      </w:r>
      <w:r>
        <w:rPr>
          <w:rFonts w:eastAsia="Times New Roman"/>
          <w:sz w:val="20"/>
          <w:szCs w:val="20"/>
          <w:lang w:eastAsia="tr-TR"/>
        </w:rPr>
        <w:t>,</w:t>
      </w:r>
      <w:proofErr w:type="gramEnd"/>
      <w:r w:rsidRPr="006C32F3">
        <w:rPr>
          <w:rFonts w:eastAsia="Times New Roman"/>
          <w:sz w:val="20"/>
          <w:szCs w:val="20"/>
          <w:lang w:eastAsia="tr-TR"/>
        </w:rPr>
        <w:t xml:space="preserve"> and 1.279 </w:t>
      </w:r>
      <w:r>
        <w:rPr>
          <w:rFonts w:eastAsia="Times New Roman"/>
          <w:sz w:val="20"/>
          <w:szCs w:val="20"/>
          <w:lang w:eastAsia="tr-TR"/>
        </w:rPr>
        <w:t>m</w:t>
      </w:r>
      <w:r w:rsidRPr="006C32F3">
        <w:rPr>
          <w:rFonts w:eastAsia="Times New Roman"/>
          <w:sz w:val="20"/>
          <w:szCs w:val="20"/>
          <w:lang w:eastAsia="tr-TR"/>
        </w:rPr>
        <w:t xml:space="preserve">illion </w:t>
      </w:r>
      <w:r>
        <w:rPr>
          <w:rFonts w:eastAsia="Times New Roman"/>
          <w:sz w:val="20"/>
          <w:szCs w:val="20"/>
          <w:lang w:eastAsia="tr-TR"/>
        </w:rPr>
        <w:t>m</w:t>
      </w:r>
      <w:r>
        <w:rPr>
          <w:rFonts w:eastAsia="Times New Roman"/>
          <w:sz w:val="20"/>
          <w:szCs w:val="20"/>
          <w:vertAlign w:val="superscript"/>
          <w:lang w:eastAsia="tr-TR"/>
        </w:rPr>
        <w:t>3</w:t>
      </w:r>
      <w:r w:rsidRPr="006C32F3">
        <w:rPr>
          <w:rFonts w:eastAsia="Times New Roman"/>
          <w:sz w:val="20"/>
          <w:szCs w:val="20"/>
          <w:lang w:eastAsia="tr-TR"/>
        </w:rPr>
        <w:t xml:space="preserve"> from Azerbaijan were imported. Th</w:t>
      </w:r>
      <w:r>
        <w:rPr>
          <w:rFonts w:eastAsia="Times New Roman"/>
          <w:sz w:val="20"/>
          <w:szCs w:val="20"/>
          <w:lang w:eastAsia="tr-TR"/>
        </w:rPr>
        <w:t>us,</w:t>
      </w:r>
      <w:r w:rsidRPr="006C32F3">
        <w:rPr>
          <w:rFonts w:eastAsia="Times New Roman"/>
          <w:sz w:val="20"/>
          <w:szCs w:val="20"/>
          <w:lang w:eastAsia="tr-TR"/>
        </w:rPr>
        <w:t xml:space="preserve"> the total import volume of natura</w:t>
      </w:r>
      <w:r>
        <w:rPr>
          <w:rFonts w:eastAsia="Times New Roman"/>
          <w:sz w:val="20"/>
          <w:szCs w:val="20"/>
          <w:lang w:eastAsia="tr-TR"/>
        </w:rPr>
        <w:t>l gas reached 36</w:t>
      </w:r>
      <w:proofErr w:type="gramStart"/>
      <w:r>
        <w:rPr>
          <w:rFonts w:eastAsia="Times New Roman"/>
          <w:sz w:val="20"/>
          <w:szCs w:val="20"/>
          <w:lang w:eastAsia="tr-TR"/>
        </w:rPr>
        <w:t>,5</w:t>
      </w:r>
      <w:proofErr w:type="gramEnd"/>
      <w:r>
        <w:rPr>
          <w:rFonts w:eastAsia="Times New Roman"/>
          <w:sz w:val="20"/>
          <w:szCs w:val="20"/>
          <w:lang w:eastAsia="tr-TR"/>
        </w:rPr>
        <w:t xml:space="preserve"> billion m</w:t>
      </w:r>
      <w:r>
        <w:rPr>
          <w:rFonts w:eastAsia="Times New Roman"/>
          <w:sz w:val="20"/>
          <w:szCs w:val="20"/>
          <w:vertAlign w:val="superscript"/>
          <w:lang w:eastAsia="tr-TR"/>
        </w:rPr>
        <w:t>3</w:t>
      </w:r>
      <w:r w:rsidRPr="006C32F3">
        <w:rPr>
          <w:rFonts w:eastAsia="Times New Roman"/>
          <w:sz w:val="20"/>
          <w:szCs w:val="20"/>
          <w:lang w:eastAsia="tr-TR"/>
        </w:rPr>
        <w:t xml:space="preserve"> in 2007.</w:t>
      </w:r>
      <w:r w:rsidR="00802418">
        <w:rPr>
          <w:rFonts w:eastAsia="Times New Roman"/>
          <w:sz w:val="20"/>
          <w:szCs w:val="20"/>
          <w:lang w:eastAsia="tr-TR"/>
        </w:rPr>
        <w:t xml:space="preserve"> Turkey </w:t>
      </w:r>
      <w:r w:rsidR="0021703F">
        <w:rPr>
          <w:rFonts w:eastAsia="Times New Roman"/>
          <w:sz w:val="20"/>
          <w:szCs w:val="20"/>
          <w:lang w:eastAsia="tr-TR"/>
        </w:rPr>
        <w:t xml:space="preserve">also </w:t>
      </w:r>
      <w:r w:rsidR="00802418">
        <w:rPr>
          <w:rFonts w:eastAsia="Times New Roman"/>
          <w:sz w:val="20"/>
          <w:szCs w:val="20"/>
          <w:lang w:eastAsia="tr-TR"/>
        </w:rPr>
        <w:t>started to transport natural gas to Greece</w:t>
      </w:r>
      <w:r w:rsidR="00802418" w:rsidRPr="00802418">
        <w:rPr>
          <w:rFonts w:eastAsia="Times New Roman"/>
          <w:sz w:val="20"/>
          <w:szCs w:val="20"/>
          <w:lang w:eastAsia="tr-TR"/>
        </w:rPr>
        <w:t xml:space="preserve"> </w:t>
      </w:r>
      <w:r w:rsidR="00802418">
        <w:rPr>
          <w:rFonts w:eastAsia="Times New Roman"/>
          <w:sz w:val="20"/>
          <w:szCs w:val="20"/>
          <w:lang w:eastAsia="tr-TR"/>
        </w:rPr>
        <w:t>in February 2008. BOTAS has recently registered that Turkey transported 198 million m</w:t>
      </w:r>
      <w:r w:rsidR="00802418">
        <w:rPr>
          <w:rFonts w:eastAsia="Times New Roman"/>
          <w:sz w:val="20"/>
          <w:szCs w:val="20"/>
          <w:vertAlign w:val="superscript"/>
          <w:lang w:eastAsia="tr-TR"/>
        </w:rPr>
        <w:t xml:space="preserve">3 </w:t>
      </w:r>
      <w:r w:rsidR="00802418">
        <w:rPr>
          <w:rFonts w:eastAsia="Times New Roman"/>
          <w:sz w:val="20"/>
          <w:szCs w:val="20"/>
          <w:lang w:eastAsia="tr-TR"/>
        </w:rPr>
        <w:t xml:space="preserve">to Greece via the newly constructed pipeline. </w:t>
      </w:r>
    </w:p>
    <w:p w:rsidR="00DC241B" w:rsidRDefault="00DC241B" w:rsidP="006C32F3">
      <w:pPr>
        <w:spacing w:after="0"/>
        <w:jc w:val="both"/>
        <w:rPr>
          <w:rFonts w:cs="CenturyGothic"/>
          <w:sz w:val="20"/>
          <w:szCs w:val="20"/>
          <w:lang w:eastAsia="tr-TR"/>
        </w:rPr>
      </w:pPr>
      <w:r w:rsidRPr="007366EE">
        <w:rPr>
          <w:rFonts w:cs="CenturyGothic"/>
          <w:sz w:val="20"/>
          <w:szCs w:val="20"/>
          <w:lang w:eastAsia="tr-TR"/>
        </w:rPr>
        <w:lastRenderedPageBreak/>
        <w:t xml:space="preserve">As a result of the supply agreements </w:t>
      </w:r>
      <w:r w:rsidR="0021703F">
        <w:rPr>
          <w:rFonts w:cs="CenturyGothic"/>
          <w:sz w:val="20"/>
          <w:szCs w:val="20"/>
          <w:lang w:eastAsia="tr-TR"/>
        </w:rPr>
        <w:t>prepared</w:t>
      </w:r>
      <w:r w:rsidRPr="007366EE">
        <w:rPr>
          <w:rFonts w:cs="CenturyGothic"/>
          <w:sz w:val="20"/>
          <w:szCs w:val="20"/>
          <w:lang w:eastAsia="tr-TR"/>
        </w:rPr>
        <w:t xml:space="preserve"> with h</w:t>
      </w:r>
      <w:r>
        <w:rPr>
          <w:rFonts w:cs="CenturyGothic"/>
          <w:sz w:val="20"/>
          <w:szCs w:val="20"/>
          <w:lang w:eastAsia="tr-TR"/>
        </w:rPr>
        <w:t>igh demand increase estimations</w:t>
      </w:r>
      <w:r w:rsidRPr="007366EE">
        <w:rPr>
          <w:rFonts w:cs="CenturyGothic"/>
          <w:sz w:val="20"/>
          <w:szCs w:val="20"/>
          <w:lang w:eastAsia="tr-TR"/>
        </w:rPr>
        <w:t>, no supply trouble is expected to oc</w:t>
      </w:r>
      <w:r w:rsidR="00656FDA">
        <w:rPr>
          <w:rFonts w:cs="CenturyGothic"/>
          <w:sz w:val="20"/>
          <w:szCs w:val="20"/>
          <w:lang w:eastAsia="tr-TR"/>
        </w:rPr>
        <w:t>cur in Turkey till the year 2015</w:t>
      </w:r>
      <w:r w:rsidRPr="007366EE">
        <w:rPr>
          <w:rFonts w:cs="CenturyGothic"/>
          <w:sz w:val="20"/>
          <w:szCs w:val="20"/>
          <w:lang w:eastAsia="tr-TR"/>
        </w:rPr>
        <w:t xml:space="preserve"> according to the existing agreement</w:t>
      </w:r>
      <w:r>
        <w:rPr>
          <w:rFonts w:cs="CenturyGothic"/>
          <w:sz w:val="20"/>
          <w:szCs w:val="20"/>
          <w:lang w:eastAsia="tr-TR"/>
        </w:rPr>
        <w:t>s</w:t>
      </w:r>
      <w:r w:rsidRPr="007366EE">
        <w:rPr>
          <w:rFonts w:cs="CenturyGothic"/>
          <w:sz w:val="20"/>
          <w:szCs w:val="20"/>
          <w:lang w:eastAsia="tr-TR"/>
        </w:rPr>
        <w:t>.</w:t>
      </w:r>
      <w:r w:rsidR="00313276">
        <w:rPr>
          <w:rFonts w:cs="CenturyGothic"/>
          <w:sz w:val="20"/>
          <w:szCs w:val="20"/>
          <w:lang w:eastAsia="tr-TR"/>
        </w:rPr>
        <w:t xml:space="preserve"> </w:t>
      </w:r>
    </w:p>
    <w:p w:rsidR="00DC241B" w:rsidRPr="0041328B" w:rsidRDefault="00DC241B" w:rsidP="00DC241B">
      <w:pPr>
        <w:spacing w:after="0"/>
        <w:jc w:val="center"/>
        <w:rPr>
          <w:rFonts w:eastAsia="Times New Roman"/>
          <w:sz w:val="20"/>
          <w:szCs w:val="20"/>
          <w:lang w:eastAsia="tr-TR"/>
        </w:rPr>
      </w:pPr>
    </w:p>
    <w:tbl>
      <w:tblPr>
        <w:tblStyle w:val="LightGrid-Accent11"/>
        <w:tblW w:w="3397" w:type="pct"/>
        <w:jc w:val="center"/>
        <w:tblInd w:w="828" w:type="dxa"/>
        <w:tblLook w:val="04A0"/>
      </w:tblPr>
      <w:tblGrid>
        <w:gridCol w:w="3207"/>
        <w:gridCol w:w="734"/>
        <w:gridCol w:w="697"/>
        <w:gridCol w:w="678"/>
        <w:gridCol w:w="731"/>
        <w:gridCol w:w="826"/>
      </w:tblGrid>
      <w:tr w:rsidR="00DC241B" w:rsidRPr="0041328B" w:rsidTr="00E44560">
        <w:trPr>
          <w:cnfStyle w:val="100000000000"/>
          <w:trHeight w:val="214"/>
          <w:jc w:val="center"/>
        </w:trPr>
        <w:tc>
          <w:tcPr>
            <w:cnfStyle w:val="001000000000"/>
            <w:tcW w:w="5000" w:type="pct"/>
            <w:gridSpan w:val="6"/>
            <w:hideMark/>
          </w:tcPr>
          <w:p w:rsidR="00DC241B" w:rsidRPr="00DC241B" w:rsidRDefault="00DC241B" w:rsidP="00DC241B">
            <w:pPr>
              <w:spacing w:after="0"/>
              <w:jc w:val="center"/>
              <w:rPr>
                <w:rFonts w:asciiTheme="minorHAnsi" w:hAnsiTheme="minorHAnsi"/>
                <w:bCs w:val="0"/>
                <w:sz w:val="20"/>
                <w:szCs w:val="20"/>
                <w:lang w:eastAsia="tr-TR"/>
              </w:rPr>
            </w:pPr>
            <w:r w:rsidRPr="00DC241B">
              <w:rPr>
                <w:rFonts w:asciiTheme="minorHAnsi" w:hAnsiTheme="minorHAnsi"/>
                <w:bCs w:val="0"/>
                <w:sz w:val="20"/>
                <w:szCs w:val="20"/>
                <w:lang w:eastAsia="tr-TR"/>
              </w:rPr>
              <w:t>Natural Gas Contracted Volumes (million Cm³)</w:t>
            </w:r>
          </w:p>
        </w:tc>
      </w:tr>
      <w:tr w:rsidR="00DC241B" w:rsidRPr="0041328B" w:rsidTr="005A30DC">
        <w:trPr>
          <w:cnfStyle w:val="000000100000"/>
          <w:trHeight w:val="72"/>
          <w:jc w:val="center"/>
        </w:trPr>
        <w:tc>
          <w:tcPr>
            <w:cnfStyle w:val="001000000000"/>
            <w:tcW w:w="2333" w:type="pct"/>
            <w:hideMark/>
          </w:tcPr>
          <w:p w:rsidR="00DC241B" w:rsidRPr="00DC241B" w:rsidRDefault="00DC241B" w:rsidP="00DC241B">
            <w:pPr>
              <w:spacing w:after="0"/>
              <w:jc w:val="center"/>
              <w:rPr>
                <w:rFonts w:asciiTheme="minorHAnsi" w:hAnsiTheme="minorHAnsi"/>
                <w:sz w:val="16"/>
                <w:szCs w:val="16"/>
                <w:lang w:eastAsia="tr-TR"/>
              </w:rPr>
            </w:pPr>
            <w:r w:rsidRPr="00DC241B">
              <w:rPr>
                <w:rFonts w:asciiTheme="minorHAnsi" w:hAnsiTheme="minorHAnsi"/>
                <w:b w:val="0"/>
                <w:bCs w:val="0"/>
                <w:sz w:val="16"/>
                <w:szCs w:val="16"/>
                <w:lang w:eastAsia="tr-TR"/>
              </w:rPr>
              <w:t> </w:t>
            </w:r>
          </w:p>
        </w:tc>
        <w:tc>
          <w:tcPr>
            <w:tcW w:w="534" w:type="pct"/>
            <w:hideMark/>
          </w:tcPr>
          <w:p w:rsidR="00DC241B" w:rsidRPr="00DC241B" w:rsidRDefault="00DC241B" w:rsidP="00DC241B">
            <w:pPr>
              <w:spacing w:after="0"/>
              <w:jc w:val="center"/>
              <w:cnfStyle w:val="000000100000"/>
              <w:rPr>
                <w:rFonts w:asciiTheme="minorHAnsi" w:eastAsia="Times New Roman" w:hAnsiTheme="minorHAnsi"/>
                <w:sz w:val="16"/>
                <w:szCs w:val="16"/>
                <w:lang w:eastAsia="tr-TR"/>
              </w:rPr>
            </w:pPr>
            <w:r w:rsidRPr="00DC241B">
              <w:rPr>
                <w:rFonts w:asciiTheme="minorHAnsi" w:eastAsia="Times New Roman" w:hAnsiTheme="minorHAnsi"/>
                <w:b/>
                <w:bCs/>
                <w:sz w:val="16"/>
                <w:szCs w:val="16"/>
                <w:lang w:eastAsia="tr-TR"/>
              </w:rPr>
              <w:t>2008</w:t>
            </w:r>
          </w:p>
        </w:tc>
        <w:tc>
          <w:tcPr>
            <w:tcW w:w="507" w:type="pct"/>
            <w:hideMark/>
          </w:tcPr>
          <w:p w:rsidR="00DC241B" w:rsidRPr="00DC241B" w:rsidRDefault="00DC241B" w:rsidP="00DC241B">
            <w:pPr>
              <w:spacing w:after="0"/>
              <w:jc w:val="center"/>
              <w:cnfStyle w:val="000000100000"/>
              <w:rPr>
                <w:rFonts w:asciiTheme="minorHAnsi" w:eastAsia="Times New Roman" w:hAnsiTheme="minorHAnsi"/>
                <w:sz w:val="16"/>
                <w:szCs w:val="16"/>
                <w:lang w:eastAsia="tr-TR"/>
              </w:rPr>
            </w:pPr>
            <w:r w:rsidRPr="00DC241B">
              <w:rPr>
                <w:rFonts w:asciiTheme="minorHAnsi" w:eastAsia="Times New Roman" w:hAnsiTheme="minorHAnsi"/>
                <w:b/>
                <w:bCs/>
                <w:sz w:val="16"/>
                <w:szCs w:val="16"/>
                <w:lang w:eastAsia="tr-TR"/>
              </w:rPr>
              <w:t>2009</w:t>
            </w:r>
          </w:p>
        </w:tc>
        <w:tc>
          <w:tcPr>
            <w:tcW w:w="493" w:type="pct"/>
            <w:hideMark/>
          </w:tcPr>
          <w:p w:rsidR="00DC241B" w:rsidRPr="00DC241B" w:rsidRDefault="00DC241B" w:rsidP="00DC241B">
            <w:pPr>
              <w:spacing w:after="0"/>
              <w:jc w:val="center"/>
              <w:cnfStyle w:val="000000100000"/>
              <w:rPr>
                <w:rFonts w:asciiTheme="minorHAnsi" w:eastAsia="Times New Roman" w:hAnsiTheme="minorHAnsi"/>
                <w:sz w:val="16"/>
                <w:szCs w:val="16"/>
                <w:lang w:eastAsia="tr-TR"/>
              </w:rPr>
            </w:pPr>
            <w:r w:rsidRPr="00DC241B">
              <w:rPr>
                <w:rFonts w:asciiTheme="minorHAnsi" w:eastAsia="Times New Roman" w:hAnsiTheme="minorHAnsi"/>
                <w:b/>
                <w:bCs/>
                <w:sz w:val="16"/>
                <w:szCs w:val="16"/>
                <w:lang w:eastAsia="tr-TR"/>
              </w:rPr>
              <w:t>2010</w:t>
            </w:r>
          </w:p>
        </w:tc>
        <w:tc>
          <w:tcPr>
            <w:tcW w:w="532" w:type="pct"/>
            <w:hideMark/>
          </w:tcPr>
          <w:p w:rsidR="00DC241B" w:rsidRPr="00DC241B" w:rsidRDefault="00DC241B" w:rsidP="00DC241B">
            <w:pPr>
              <w:spacing w:after="0"/>
              <w:jc w:val="center"/>
              <w:cnfStyle w:val="000000100000"/>
              <w:rPr>
                <w:rFonts w:asciiTheme="minorHAnsi" w:eastAsia="Times New Roman" w:hAnsiTheme="minorHAnsi"/>
                <w:sz w:val="16"/>
                <w:szCs w:val="16"/>
                <w:lang w:eastAsia="tr-TR"/>
              </w:rPr>
            </w:pPr>
            <w:r w:rsidRPr="00DC241B">
              <w:rPr>
                <w:rFonts w:asciiTheme="minorHAnsi" w:eastAsia="Times New Roman" w:hAnsiTheme="minorHAnsi"/>
                <w:b/>
                <w:bCs/>
                <w:sz w:val="16"/>
                <w:szCs w:val="16"/>
                <w:lang w:eastAsia="tr-TR"/>
              </w:rPr>
              <w:t>2015</w:t>
            </w:r>
          </w:p>
        </w:tc>
        <w:tc>
          <w:tcPr>
            <w:tcW w:w="601" w:type="pct"/>
            <w:hideMark/>
          </w:tcPr>
          <w:p w:rsidR="00DC241B" w:rsidRPr="00DC241B" w:rsidRDefault="00DC241B" w:rsidP="00DC241B">
            <w:pPr>
              <w:spacing w:after="0"/>
              <w:jc w:val="center"/>
              <w:cnfStyle w:val="000000100000"/>
              <w:rPr>
                <w:rFonts w:asciiTheme="minorHAnsi" w:eastAsia="Times New Roman" w:hAnsiTheme="minorHAnsi"/>
                <w:sz w:val="16"/>
                <w:szCs w:val="16"/>
                <w:lang w:eastAsia="tr-TR"/>
              </w:rPr>
            </w:pPr>
            <w:r w:rsidRPr="00DC241B">
              <w:rPr>
                <w:rFonts w:asciiTheme="minorHAnsi" w:eastAsia="Times New Roman" w:hAnsiTheme="minorHAnsi"/>
                <w:b/>
                <w:bCs/>
                <w:sz w:val="16"/>
                <w:szCs w:val="16"/>
                <w:lang w:eastAsia="tr-TR"/>
              </w:rPr>
              <w:t>2020</w:t>
            </w:r>
          </w:p>
        </w:tc>
      </w:tr>
      <w:tr w:rsidR="00DC241B" w:rsidRPr="0041328B" w:rsidTr="00E44560">
        <w:trPr>
          <w:cnfStyle w:val="00000001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Russian Federation</w:t>
            </w:r>
          </w:p>
        </w:tc>
        <w:tc>
          <w:tcPr>
            <w:tcW w:w="534"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07"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493"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32"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601"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r>
      <w:tr w:rsidR="00DC241B" w:rsidRPr="0041328B" w:rsidTr="005A30DC">
        <w:trPr>
          <w:cnfStyle w:val="000000100000"/>
          <w:trHeight w:val="133"/>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Pr>
                <w:rFonts w:asciiTheme="minorHAnsi" w:hAnsiTheme="minorHAnsi"/>
                <w:b w:val="0"/>
                <w:bCs w:val="0"/>
                <w:sz w:val="16"/>
                <w:szCs w:val="16"/>
                <w:lang w:eastAsia="tr-TR"/>
              </w:rPr>
              <w:t>1. LNG</w:t>
            </w:r>
            <w:r w:rsidRPr="00DC241B">
              <w:rPr>
                <w:rFonts w:asciiTheme="minorHAnsi" w:hAnsiTheme="minorHAnsi"/>
                <w:b w:val="0"/>
                <w:bCs w:val="0"/>
                <w:sz w:val="16"/>
                <w:szCs w:val="16"/>
                <w:lang w:eastAsia="tr-TR"/>
              </w:rPr>
              <w:t xml:space="preserve"> (M. </w:t>
            </w:r>
            <w:proofErr w:type="spellStart"/>
            <w:r w:rsidRPr="00DC241B">
              <w:rPr>
                <w:rFonts w:asciiTheme="minorHAnsi" w:hAnsiTheme="minorHAnsi"/>
                <w:b w:val="0"/>
                <w:bCs w:val="0"/>
                <w:sz w:val="16"/>
                <w:szCs w:val="16"/>
                <w:lang w:eastAsia="tr-TR"/>
              </w:rPr>
              <w:t>Ereglisi</w:t>
            </w:r>
            <w:proofErr w:type="spellEnd"/>
            <w:r w:rsidRPr="00DC241B">
              <w:rPr>
                <w:rFonts w:asciiTheme="minorHAnsi" w:hAnsiTheme="minorHAnsi"/>
                <w:b w:val="0"/>
                <w:bCs w:val="0"/>
                <w:sz w:val="16"/>
                <w:szCs w:val="16"/>
                <w:lang w:eastAsia="tr-TR"/>
              </w:rPr>
              <w:t>) Algeria</w:t>
            </w:r>
          </w:p>
        </w:tc>
        <w:tc>
          <w:tcPr>
            <w:tcW w:w="534"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4</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444</w:t>
            </w:r>
          </w:p>
        </w:tc>
        <w:tc>
          <w:tcPr>
            <w:tcW w:w="507"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4</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444</w:t>
            </w:r>
          </w:p>
        </w:tc>
        <w:tc>
          <w:tcPr>
            <w:tcW w:w="493"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4</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444</w:t>
            </w:r>
          </w:p>
        </w:tc>
        <w:tc>
          <w:tcPr>
            <w:tcW w:w="532" w:type="pct"/>
            <w:hideMark/>
          </w:tcPr>
          <w:p w:rsidR="00DC241B" w:rsidRPr="00DC241B" w:rsidRDefault="00BD680A" w:rsidP="00DC241B">
            <w:pPr>
              <w:spacing w:after="0"/>
              <w:jc w:val="right"/>
              <w:cnfStyle w:val="00000010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601" w:type="pct"/>
            <w:hideMark/>
          </w:tcPr>
          <w:p w:rsidR="00DC241B" w:rsidRPr="00DC241B" w:rsidRDefault="00BD680A" w:rsidP="00DC241B">
            <w:pPr>
              <w:spacing w:after="0"/>
              <w:jc w:val="right"/>
              <w:cnfStyle w:val="00000010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r>
      <w:tr w:rsidR="00DC241B" w:rsidRPr="0041328B" w:rsidTr="00E44560">
        <w:trPr>
          <w:cnfStyle w:val="00000001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Pr>
                <w:rFonts w:asciiTheme="minorHAnsi" w:hAnsiTheme="minorHAnsi"/>
                <w:b w:val="0"/>
                <w:bCs w:val="0"/>
                <w:sz w:val="16"/>
                <w:szCs w:val="16"/>
                <w:lang w:eastAsia="tr-TR"/>
              </w:rPr>
              <w:t>1. LNG</w:t>
            </w:r>
            <w:r w:rsidRPr="00DC241B">
              <w:rPr>
                <w:rFonts w:asciiTheme="minorHAnsi" w:hAnsiTheme="minorHAnsi"/>
                <w:b w:val="0"/>
                <w:bCs w:val="0"/>
                <w:sz w:val="16"/>
                <w:szCs w:val="16"/>
                <w:lang w:eastAsia="tr-TR"/>
              </w:rPr>
              <w:t xml:space="preserve"> (M. </w:t>
            </w:r>
            <w:proofErr w:type="spellStart"/>
            <w:r w:rsidRPr="00DC241B">
              <w:rPr>
                <w:rFonts w:asciiTheme="minorHAnsi" w:hAnsiTheme="minorHAnsi"/>
                <w:b w:val="0"/>
                <w:bCs w:val="0"/>
                <w:sz w:val="16"/>
                <w:szCs w:val="16"/>
                <w:lang w:eastAsia="tr-TR"/>
              </w:rPr>
              <w:t>Ereglisi</w:t>
            </w:r>
            <w:proofErr w:type="spellEnd"/>
            <w:r w:rsidRPr="00DC241B">
              <w:rPr>
                <w:rFonts w:asciiTheme="minorHAnsi" w:hAnsiTheme="minorHAnsi"/>
                <w:b w:val="0"/>
                <w:bCs w:val="0"/>
                <w:sz w:val="16"/>
                <w:szCs w:val="16"/>
                <w:lang w:eastAsia="tr-TR"/>
              </w:rPr>
              <w:t>) Nigeria</w:t>
            </w:r>
          </w:p>
        </w:tc>
        <w:tc>
          <w:tcPr>
            <w:tcW w:w="534"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338</w:t>
            </w:r>
          </w:p>
        </w:tc>
        <w:tc>
          <w:tcPr>
            <w:tcW w:w="507"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338</w:t>
            </w:r>
          </w:p>
        </w:tc>
        <w:tc>
          <w:tcPr>
            <w:tcW w:w="493"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338</w:t>
            </w:r>
          </w:p>
        </w:tc>
        <w:tc>
          <w:tcPr>
            <w:tcW w:w="532"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338</w:t>
            </w:r>
          </w:p>
        </w:tc>
        <w:tc>
          <w:tcPr>
            <w:tcW w:w="601"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338</w:t>
            </w:r>
          </w:p>
        </w:tc>
      </w:tr>
      <w:tr w:rsidR="00DC241B" w:rsidRPr="0041328B" w:rsidTr="005A30DC">
        <w:trPr>
          <w:cnfStyle w:val="000000100000"/>
          <w:trHeight w:val="88"/>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Iran</w:t>
            </w:r>
          </w:p>
        </w:tc>
        <w:tc>
          <w:tcPr>
            <w:tcW w:w="534"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9</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556</w:t>
            </w:r>
          </w:p>
        </w:tc>
        <w:tc>
          <w:tcPr>
            <w:tcW w:w="507"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9</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556</w:t>
            </w:r>
          </w:p>
        </w:tc>
        <w:tc>
          <w:tcPr>
            <w:tcW w:w="493"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9</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556</w:t>
            </w:r>
          </w:p>
        </w:tc>
        <w:tc>
          <w:tcPr>
            <w:tcW w:w="532"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9</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556</w:t>
            </w:r>
          </w:p>
        </w:tc>
        <w:tc>
          <w:tcPr>
            <w:tcW w:w="601"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9</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556</w:t>
            </w:r>
          </w:p>
        </w:tc>
      </w:tr>
      <w:tr w:rsidR="00DC241B" w:rsidRPr="0041328B" w:rsidTr="00E44560">
        <w:trPr>
          <w:cnfStyle w:val="00000001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Russian Fed. (Addition)(West)</w:t>
            </w:r>
          </w:p>
        </w:tc>
        <w:tc>
          <w:tcPr>
            <w:tcW w:w="534"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8</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07"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8</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493"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8</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32"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8</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601" w:type="pct"/>
            <w:hideMark/>
          </w:tcPr>
          <w:p w:rsidR="00DC241B" w:rsidRPr="00DC241B" w:rsidRDefault="00DC241B" w:rsidP="00DC241B">
            <w:pPr>
              <w:spacing w:after="0"/>
              <w:jc w:val="right"/>
              <w:cnfStyle w:val="00000001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8</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r>
      <w:tr w:rsidR="00DC241B" w:rsidRPr="0041328B" w:rsidTr="00E44560">
        <w:trPr>
          <w:cnfStyle w:val="00000010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Russian Fed. (Black sea)</w:t>
            </w:r>
          </w:p>
        </w:tc>
        <w:tc>
          <w:tcPr>
            <w:tcW w:w="534"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12</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07"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14</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493"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32"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601"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16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r>
      <w:tr w:rsidR="00DC241B" w:rsidRPr="0041328B" w:rsidTr="00E44560">
        <w:trPr>
          <w:cnfStyle w:val="00000001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Turkmenistan (*)</w:t>
            </w:r>
          </w:p>
        </w:tc>
        <w:tc>
          <w:tcPr>
            <w:tcW w:w="534"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507"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493"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532"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c>
          <w:tcPr>
            <w:tcW w:w="601" w:type="pct"/>
            <w:hideMark/>
          </w:tcPr>
          <w:p w:rsidR="00DC241B" w:rsidRPr="00DC241B" w:rsidRDefault="00BD680A" w:rsidP="00DC241B">
            <w:pPr>
              <w:spacing w:after="0"/>
              <w:jc w:val="right"/>
              <w:cnfStyle w:val="000000010000"/>
              <w:rPr>
                <w:rFonts w:asciiTheme="minorHAnsi" w:eastAsia="Times New Roman" w:hAnsiTheme="minorHAnsi"/>
                <w:sz w:val="16"/>
                <w:szCs w:val="16"/>
                <w:lang w:eastAsia="tr-TR"/>
              </w:rPr>
            </w:pPr>
            <w:r>
              <w:rPr>
                <w:rFonts w:asciiTheme="minorHAnsi" w:eastAsia="Times New Roman" w:hAnsiTheme="minorHAnsi"/>
                <w:sz w:val="16"/>
                <w:szCs w:val="16"/>
                <w:lang w:eastAsia="tr-TR"/>
              </w:rPr>
              <w:t>-</w:t>
            </w:r>
          </w:p>
        </w:tc>
      </w:tr>
      <w:tr w:rsidR="00DC241B" w:rsidRPr="0041328B" w:rsidTr="00E44560">
        <w:trPr>
          <w:cnfStyle w:val="00000010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 w:val="0"/>
                <w:bCs w:val="0"/>
                <w:sz w:val="16"/>
                <w:szCs w:val="16"/>
                <w:lang w:eastAsia="tr-TR"/>
              </w:rPr>
              <w:t>Azerbaijan (**)</w:t>
            </w:r>
          </w:p>
        </w:tc>
        <w:tc>
          <w:tcPr>
            <w:tcW w:w="534"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5</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000</w:t>
            </w:r>
          </w:p>
        </w:tc>
        <w:tc>
          <w:tcPr>
            <w:tcW w:w="507"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600</w:t>
            </w:r>
          </w:p>
        </w:tc>
        <w:tc>
          <w:tcPr>
            <w:tcW w:w="493"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600</w:t>
            </w:r>
          </w:p>
        </w:tc>
        <w:tc>
          <w:tcPr>
            <w:tcW w:w="532"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w:t>
            </w:r>
            <w:r>
              <w:rPr>
                <w:rFonts w:asciiTheme="minorHAnsi" w:eastAsia="Times New Roman" w:hAnsiTheme="minorHAnsi"/>
                <w:sz w:val="16"/>
                <w:szCs w:val="16"/>
                <w:lang w:eastAsia="tr-TR"/>
              </w:rPr>
              <w:t>.</w:t>
            </w:r>
            <w:r w:rsidRPr="00DC241B">
              <w:rPr>
                <w:rFonts w:asciiTheme="minorHAnsi" w:eastAsia="Times New Roman" w:hAnsiTheme="minorHAnsi"/>
                <w:sz w:val="16"/>
                <w:szCs w:val="16"/>
                <w:lang w:eastAsia="tr-TR"/>
              </w:rPr>
              <w:t>600</w:t>
            </w:r>
          </w:p>
        </w:tc>
        <w:tc>
          <w:tcPr>
            <w:tcW w:w="601" w:type="pct"/>
            <w:hideMark/>
          </w:tcPr>
          <w:p w:rsidR="00DC241B" w:rsidRPr="00DC241B" w:rsidRDefault="00DC241B" w:rsidP="00DC241B">
            <w:pPr>
              <w:spacing w:after="0"/>
              <w:jc w:val="right"/>
              <w:cnfStyle w:val="000000100000"/>
              <w:rPr>
                <w:rFonts w:asciiTheme="minorHAnsi" w:eastAsia="Times New Roman" w:hAnsiTheme="minorHAnsi"/>
                <w:sz w:val="16"/>
                <w:szCs w:val="16"/>
                <w:lang w:eastAsia="tr-TR"/>
              </w:rPr>
            </w:pPr>
            <w:r w:rsidRPr="00DC241B">
              <w:rPr>
                <w:rFonts w:asciiTheme="minorHAnsi" w:eastAsia="Times New Roman" w:hAnsiTheme="minorHAnsi"/>
                <w:sz w:val="16"/>
                <w:szCs w:val="16"/>
                <w:lang w:eastAsia="tr-TR"/>
              </w:rPr>
              <w:t>6600</w:t>
            </w:r>
          </w:p>
        </w:tc>
      </w:tr>
      <w:tr w:rsidR="00DC241B" w:rsidRPr="0041328B" w:rsidTr="00E44560">
        <w:trPr>
          <w:cnfStyle w:val="000000010000"/>
          <w:jc w:val="center"/>
        </w:trPr>
        <w:tc>
          <w:tcPr>
            <w:cnfStyle w:val="001000000000"/>
            <w:tcW w:w="2333" w:type="pct"/>
            <w:hideMark/>
          </w:tcPr>
          <w:p w:rsidR="00DC241B" w:rsidRPr="00DC241B" w:rsidRDefault="00DC241B" w:rsidP="00DC241B">
            <w:pPr>
              <w:spacing w:after="0"/>
              <w:rPr>
                <w:rFonts w:asciiTheme="minorHAnsi" w:hAnsiTheme="minorHAnsi"/>
                <w:sz w:val="16"/>
                <w:szCs w:val="16"/>
                <w:lang w:eastAsia="tr-TR"/>
              </w:rPr>
            </w:pPr>
            <w:r w:rsidRPr="00DC241B">
              <w:rPr>
                <w:rFonts w:asciiTheme="minorHAnsi" w:hAnsiTheme="minorHAnsi"/>
                <w:bCs w:val="0"/>
                <w:sz w:val="16"/>
                <w:szCs w:val="16"/>
                <w:lang w:eastAsia="tr-TR"/>
              </w:rPr>
              <w:t>Total Suppl</w:t>
            </w:r>
            <w:r>
              <w:rPr>
                <w:rFonts w:asciiTheme="minorHAnsi" w:hAnsiTheme="minorHAnsi"/>
                <w:bCs w:val="0"/>
                <w:sz w:val="16"/>
                <w:szCs w:val="16"/>
                <w:lang w:eastAsia="tr-TR"/>
              </w:rPr>
              <w:t>y</w:t>
            </w:r>
          </w:p>
        </w:tc>
        <w:tc>
          <w:tcPr>
            <w:tcW w:w="534" w:type="pct"/>
            <w:hideMark/>
          </w:tcPr>
          <w:p w:rsidR="00DC241B" w:rsidRPr="00DC241B" w:rsidRDefault="00DC241B" w:rsidP="00DC241B">
            <w:pPr>
              <w:spacing w:after="0"/>
              <w:jc w:val="right"/>
              <w:cnfStyle w:val="000000010000"/>
              <w:rPr>
                <w:rFonts w:asciiTheme="minorHAnsi" w:eastAsia="Times New Roman" w:hAnsiTheme="minorHAnsi"/>
                <w:b/>
                <w:sz w:val="16"/>
                <w:szCs w:val="16"/>
                <w:lang w:eastAsia="tr-TR"/>
              </w:rPr>
            </w:pPr>
            <w:r w:rsidRPr="00DC241B">
              <w:rPr>
                <w:rFonts w:asciiTheme="minorHAnsi" w:eastAsia="Times New Roman" w:hAnsiTheme="minorHAnsi"/>
                <w:b/>
                <w:sz w:val="16"/>
                <w:szCs w:val="16"/>
                <w:lang w:eastAsia="tr-TR"/>
              </w:rPr>
              <w:t>45</w:t>
            </w:r>
            <w:r>
              <w:rPr>
                <w:rFonts w:asciiTheme="minorHAnsi" w:eastAsia="Times New Roman" w:hAnsiTheme="minorHAnsi"/>
                <w:b/>
                <w:sz w:val="16"/>
                <w:szCs w:val="16"/>
                <w:lang w:eastAsia="tr-TR"/>
              </w:rPr>
              <w:t>.</w:t>
            </w:r>
            <w:r w:rsidRPr="00DC241B">
              <w:rPr>
                <w:rFonts w:asciiTheme="minorHAnsi" w:eastAsia="Times New Roman" w:hAnsiTheme="minorHAnsi"/>
                <w:b/>
                <w:sz w:val="16"/>
                <w:szCs w:val="16"/>
                <w:lang w:eastAsia="tr-TR"/>
              </w:rPr>
              <w:t>553</w:t>
            </w:r>
          </w:p>
        </w:tc>
        <w:tc>
          <w:tcPr>
            <w:tcW w:w="507" w:type="pct"/>
            <w:hideMark/>
          </w:tcPr>
          <w:p w:rsidR="00DC241B" w:rsidRPr="00DC241B" w:rsidRDefault="00DC241B" w:rsidP="00DC241B">
            <w:pPr>
              <w:spacing w:after="0"/>
              <w:jc w:val="right"/>
              <w:cnfStyle w:val="000000010000"/>
              <w:rPr>
                <w:rFonts w:asciiTheme="minorHAnsi" w:eastAsia="Times New Roman" w:hAnsiTheme="minorHAnsi"/>
                <w:b/>
                <w:sz w:val="16"/>
                <w:szCs w:val="16"/>
                <w:lang w:eastAsia="tr-TR"/>
              </w:rPr>
            </w:pPr>
            <w:r w:rsidRPr="00DC241B">
              <w:rPr>
                <w:rFonts w:asciiTheme="minorHAnsi" w:eastAsia="Times New Roman" w:hAnsiTheme="minorHAnsi"/>
                <w:b/>
                <w:sz w:val="16"/>
                <w:szCs w:val="16"/>
                <w:lang w:eastAsia="tr-TR"/>
              </w:rPr>
              <w:t>49</w:t>
            </w:r>
            <w:r>
              <w:rPr>
                <w:rFonts w:asciiTheme="minorHAnsi" w:eastAsia="Times New Roman" w:hAnsiTheme="minorHAnsi"/>
                <w:b/>
                <w:sz w:val="16"/>
                <w:szCs w:val="16"/>
                <w:lang w:eastAsia="tr-TR"/>
              </w:rPr>
              <w:t>.</w:t>
            </w:r>
            <w:r w:rsidRPr="00DC241B">
              <w:rPr>
                <w:rFonts w:asciiTheme="minorHAnsi" w:eastAsia="Times New Roman" w:hAnsiTheme="minorHAnsi"/>
                <w:b/>
                <w:sz w:val="16"/>
                <w:szCs w:val="16"/>
                <w:lang w:eastAsia="tr-TR"/>
              </w:rPr>
              <w:t>092</w:t>
            </w:r>
          </w:p>
        </w:tc>
        <w:tc>
          <w:tcPr>
            <w:tcW w:w="493" w:type="pct"/>
            <w:hideMark/>
          </w:tcPr>
          <w:p w:rsidR="00DC241B" w:rsidRPr="00DC241B" w:rsidRDefault="00DC241B" w:rsidP="00DC241B">
            <w:pPr>
              <w:spacing w:after="0"/>
              <w:jc w:val="right"/>
              <w:cnfStyle w:val="000000010000"/>
              <w:rPr>
                <w:rFonts w:asciiTheme="minorHAnsi" w:eastAsia="Times New Roman" w:hAnsiTheme="minorHAnsi"/>
                <w:b/>
                <w:sz w:val="16"/>
                <w:szCs w:val="16"/>
                <w:lang w:eastAsia="tr-TR"/>
              </w:rPr>
            </w:pPr>
            <w:r w:rsidRPr="00DC241B">
              <w:rPr>
                <w:rFonts w:asciiTheme="minorHAnsi" w:eastAsia="Times New Roman" w:hAnsiTheme="minorHAnsi"/>
                <w:b/>
                <w:sz w:val="16"/>
                <w:szCs w:val="16"/>
                <w:lang w:eastAsia="tr-TR"/>
              </w:rPr>
              <w:t>51</w:t>
            </w:r>
            <w:r>
              <w:rPr>
                <w:rFonts w:asciiTheme="minorHAnsi" w:eastAsia="Times New Roman" w:hAnsiTheme="minorHAnsi"/>
                <w:b/>
                <w:sz w:val="16"/>
                <w:szCs w:val="16"/>
                <w:lang w:eastAsia="tr-TR"/>
              </w:rPr>
              <w:t>.</w:t>
            </w:r>
            <w:r w:rsidRPr="00DC241B">
              <w:rPr>
                <w:rFonts w:asciiTheme="minorHAnsi" w:eastAsia="Times New Roman" w:hAnsiTheme="minorHAnsi"/>
                <w:b/>
                <w:sz w:val="16"/>
                <w:szCs w:val="16"/>
                <w:lang w:eastAsia="tr-TR"/>
              </w:rPr>
              <w:t>059</w:t>
            </w:r>
          </w:p>
        </w:tc>
        <w:tc>
          <w:tcPr>
            <w:tcW w:w="532" w:type="pct"/>
            <w:hideMark/>
          </w:tcPr>
          <w:p w:rsidR="00DC241B" w:rsidRPr="00DC241B" w:rsidRDefault="00DC241B" w:rsidP="00DC241B">
            <w:pPr>
              <w:spacing w:after="0"/>
              <w:jc w:val="right"/>
              <w:cnfStyle w:val="000000010000"/>
              <w:rPr>
                <w:rFonts w:asciiTheme="minorHAnsi" w:eastAsia="Times New Roman" w:hAnsiTheme="minorHAnsi"/>
                <w:b/>
                <w:sz w:val="16"/>
                <w:szCs w:val="16"/>
                <w:lang w:eastAsia="tr-TR"/>
              </w:rPr>
            </w:pPr>
            <w:r w:rsidRPr="00DC241B">
              <w:rPr>
                <w:rFonts w:asciiTheme="minorHAnsi" w:eastAsia="Times New Roman" w:hAnsiTheme="minorHAnsi"/>
                <w:b/>
                <w:sz w:val="16"/>
                <w:szCs w:val="16"/>
                <w:lang w:eastAsia="tr-TR"/>
              </w:rPr>
              <w:t>40</w:t>
            </w:r>
            <w:r>
              <w:rPr>
                <w:rFonts w:asciiTheme="minorHAnsi" w:eastAsia="Times New Roman" w:hAnsiTheme="minorHAnsi"/>
                <w:b/>
                <w:sz w:val="16"/>
                <w:szCs w:val="16"/>
                <w:lang w:eastAsia="tr-TR"/>
              </w:rPr>
              <w:t>.</w:t>
            </w:r>
            <w:r w:rsidRPr="00DC241B">
              <w:rPr>
                <w:rFonts w:asciiTheme="minorHAnsi" w:eastAsia="Times New Roman" w:hAnsiTheme="minorHAnsi"/>
                <w:b/>
                <w:sz w:val="16"/>
                <w:szCs w:val="16"/>
                <w:lang w:eastAsia="tr-TR"/>
              </w:rPr>
              <w:t>791</w:t>
            </w:r>
          </w:p>
        </w:tc>
        <w:tc>
          <w:tcPr>
            <w:tcW w:w="601" w:type="pct"/>
            <w:hideMark/>
          </w:tcPr>
          <w:p w:rsidR="00DC241B" w:rsidRPr="00DC241B" w:rsidRDefault="00DC241B" w:rsidP="00DC241B">
            <w:pPr>
              <w:spacing w:after="0"/>
              <w:jc w:val="right"/>
              <w:cnfStyle w:val="000000010000"/>
              <w:rPr>
                <w:rFonts w:asciiTheme="minorHAnsi" w:eastAsia="Times New Roman" w:hAnsiTheme="minorHAnsi"/>
                <w:b/>
                <w:sz w:val="16"/>
                <w:szCs w:val="16"/>
                <w:lang w:eastAsia="tr-TR"/>
              </w:rPr>
            </w:pPr>
            <w:r w:rsidRPr="00DC241B">
              <w:rPr>
                <w:rFonts w:asciiTheme="minorHAnsi" w:eastAsia="Times New Roman" w:hAnsiTheme="minorHAnsi"/>
                <w:b/>
                <w:sz w:val="16"/>
                <w:szCs w:val="16"/>
                <w:lang w:eastAsia="tr-TR"/>
              </w:rPr>
              <w:t>40</w:t>
            </w:r>
            <w:r>
              <w:rPr>
                <w:rFonts w:asciiTheme="minorHAnsi" w:eastAsia="Times New Roman" w:hAnsiTheme="minorHAnsi"/>
                <w:b/>
                <w:sz w:val="16"/>
                <w:szCs w:val="16"/>
                <w:lang w:eastAsia="tr-TR"/>
              </w:rPr>
              <w:t>.</w:t>
            </w:r>
            <w:r w:rsidRPr="00DC241B">
              <w:rPr>
                <w:rFonts w:asciiTheme="minorHAnsi" w:eastAsia="Times New Roman" w:hAnsiTheme="minorHAnsi"/>
                <w:b/>
                <w:sz w:val="16"/>
                <w:szCs w:val="16"/>
                <w:lang w:eastAsia="tr-TR"/>
              </w:rPr>
              <w:t>791</w:t>
            </w:r>
          </w:p>
        </w:tc>
      </w:tr>
    </w:tbl>
    <w:p w:rsidR="00DC241B" w:rsidRPr="00DC241B" w:rsidRDefault="00DC241B" w:rsidP="00E44560">
      <w:pPr>
        <w:spacing w:after="0"/>
        <w:ind w:left="720" w:firstLine="720"/>
        <w:jc w:val="both"/>
        <w:rPr>
          <w:rFonts w:eastAsia="Times New Roman"/>
          <w:sz w:val="16"/>
          <w:szCs w:val="16"/>
          <w:lang w:eastAsia="tr-TR"/>
        </w:rPr>
      </w:pPr>
      <w:r w:rsidRPr="00DC241B">
        <w:rPr>
          <w:rFonts w:eastAsia="Times New Roman"/>
          <w:sz w:val="16"/>
          <w:szCs w:val="16"/>
          <w:lang w:eastAsia="tr-TR"/>
        </w:rPr>
        <w:t xml:space="preserve">* </w:t>
      </w:r>
      <w:r w:rsidR="00BD680A">
        <w:rPr>
          <w:rFonts w:eastAsia="Times New Roman"/>
          <w:sz w:val="16"/>
          <w:szCs w:val="16"/>
          <w:lang w:eastAsia="tr-TR"/>
        </w:rPr>
        <w:t>Negotiations are still being carried out to finalize an agreement</w:t>
      </w:r>
      <w:r w:rsidRPr="00DC241B">
        <w:rPr>
          <w:rFonts w:eastAsia="Times New Roman"/>
          <w:sz w:val="16"/>
          <w:szCs w:val="16"/>
          <w:lang w:eastAsia="tr-TR"/>
        </w:rPr>
        <w:t>.</w:t>
      </w:r>
    </w:p>
    <w:p w:rsidR="00DC241B" w:rsidRPr="00DC241B" w:rsidRDefault="00DC241B" w:rsidP="00E44560">
      <w:pPr>
        <w:spacing w:after="0"/>
        <w:ind w:left="720" w:firstLine="720"/>
        <w:jc w:val="both"/>
        <w:rPr>
          <w:rFonts w:eastAsia="Times New Roman"/>
          <w:sz w:val="16"/>
          <w:szCs w:val="16"/>
          <w:lang w:eastAsia="tr-TR"/>
        </w:rPr>
      </w:pPr>
      <w:r w:rsidRPr="00DC241B">
        <w:rPr>
          <w:rFonts w:eastAsia="Times New Roman"/>
          <w:sz w:val="16"/>
          <w:szCs w:val="16"/>
          <w:lang w:eastAsia="tr-TR"/>
        </w:rPr>
        <w:t xml:space="preserve">** Annual contracted amounts may </w:t>
      </w:r>
      <w:r w:rsidR="00BD680A">
        <w:rPr>
          <w:rFonts w:eastAsia="Times New Roman"/>
          <w:sz w:val="16"/>
          <w:szCs w:val="16"/>
          <w:lang w:eastAsia="tr-TR"/>
        </w:rPr>
        <w:t>vary</w:t>
      </w:r>
      <w:r w:rsidRPr="00DC241B">
        <w:rPr>
          <w:rFonts w:eastAsia="Times New Roman"/>
          <w:sz w:val="16"/>
          <w:szCs w:val="16"/>
          <w:lang w:eastAsia="tr-TR"/>
        </w:rPr>
        <w:t xml:space="preserve"> upon changes in the initial date for gas deliveries.</w:t>
      </w:r>
    </w:p>
    <w:p w:rsidR="00DC241B" w:rsidRDefault="00DC241B" w:rsidP="00E44560">
      <w:pPr>
        <w:spacing w:after="0"/>
        <w:ind w:left="720" w:firstLine="720"/>
        <w:jc w:val="both"/>
        <w:rPr>
          <w:rFonts w:eastAsia="Times New Roman"/>
          <w:sz w:val="16"/>
          <w:szCs w:val="16"/>
          <w:lang w:eastAsia="tr-TR"/>
        </w:rPr>
      </w:pPr>
      <w:r w:rsidRPr="00E1524F">
        <w:rPr>
          <w:rFonts w:eastAsia="Times New Roman"/>
          <w:b/>
          <w:i/>
          <w:sz w:val="16"/>
          <w:szCs w:val="16"/>
          <w:lang w:eastAsia="tr-TR"/>
        </w:rPr>
        <w:t>Source:</w:t>
      </w:r>
      <w:r>
        <w:rPr>
          <w:rFonts w:eastAsia="Times New Roman"/>
          <w:sz w:val="16"/>
          <w:szCs w:val="16"/>
          <w:lang w:eastAsia="tr-TR"/>
        </w:rPr>
        <w:t xml:space="preserve"> BOTAS</w:t>
      </w:r>
      <w:r>
        <w:rPr>
          <w:rFonts w:eastAsia="Times New Roman"/>
          <w:sz w:val="16"/>
          <w:szCs w:val="16"/>
          <w:lang w:eastAsia="tr-TR"/>
        </w:rPr>
        <w:tab/>
      </w:r>
    </w:p>
    <w:p w:rsidR="00656FDA" w:rsidRDefault="00656FDA" w:rsidP="00656FDA">
      <w:pPr>
        <w:spacing w:after="0"/>
        <w:jc w:val="both"/>
        <w:rPr>
          <w:rFonts w:cs="CenturyGothic"/>
          <w:sz w:val="20"/>
          <w:szCs w:val="20"/>
          <w:lang w:eastAsia="tr-TR"/>
        </w:rPr>
      </w:pPr>
    </w:p>
    <w:p w:rsidR="00313276" w:rsidRDefault="00656FDA" w:rsidP="00313276">
      <w:pPr>
        <w:spacing w:after="0"/>
        <w:rPr>
          <w:sz w:val="20"/>
          <w:szCs w:val="20"/>
        </w:rPr>
      </w:pPr>
      <w:r>
        <w:rPr>
          <w:rFonts w:cs="CenturyGothic"/>
          <w:sz w:val="20"/>
          <w:szCs w:val="20"/>
          <w:lang w:eastAsia="tr-TR"/>
        </w:rPr>
        <w:t>Turkey’s demand for natural gas is estimated 178,425 billion m</w:t>
      </w:r>
      <w:r w:rsidRPr="00656FDA">
        <w:rPr>
          <w:rFonts w:cs="CenturyGothic"/>
          <w:sz w:val="20"/>
          <w:szCs w:val="20"/>
          <w:vertAlign w:val="superscript"/>
          <w:lang w:eastAsia="tr-TR"/>
        </w:rPr>
        <w:t>3</w:t>
      </w:r>
      <w:r>
        <w:rPr>
          <w:rFonts w:cs="CenturyGothic"/>
          <w:sz w:val="20"/>
          <w:szCs w:val="20"/>
          <w:vertAlign w:val="superscript"/>
          <w:lang w:eastAsia="tr-TR"/>
        </w:rPr>
        <w:t xml:space="preserve"> </w:t>
      </w:r>
      <w:r>
        <w:rPr>
          <w:rFonts w:cs="CenturyGothic"/>
          <w:sz w:val="20"/>
          <w:szCs w:val="20"/>
          <w:lang w:eastAsia="tr-TR"/>
        </w:rPr>
        <w:t xml:space="preserve">until 2015, while the current contracts </w:t>
      </w:r>
      <w:r w:rsidR="00F94957">
        <w:rPr>
          <w:rFonts w:cs="CenturyGothic"/>
          <w:sz w:val="20"/>
          <w:szCs w:val="20"/>
          <w:lang w:eastAsia="tr-TR"/>
        </w:rPr>
        <w:t xml:space="preserve">secure </w:t>
      </w:r>
      <w:r>
        <w:rPr>
          <w:rFonts w:cs="CenturyGothic"/>
          <w:sz w:val="20"/>
          <w:szCs w:val="20"/>
          <w:lang w:eastAsia="tr-TR"/>
        </w:rPr>
        <w:t>supply</w:t>
      </w:r>
      <w:r w:rsidR="00F94957">
        <w:rPr>
          <w:rFonts w:cs="CenturyGothic"/>
          <w:sz w:val="20"/>
          <w:szCs w:val="20"/>
          <w:lang w:eastAsia="tr-TR"/>
        </w:rPr>
        <w:t>ing</w:t>
      </w:r>
      <w:r>
        <w:rPr>
          <w:rFonts w:cs="CenturyGothic"/>
          <w:sz w:val="20"/>
          <w:szCs w:val="20"/>
          <w:lang w:eastAsia="tr-TR"/>
        </w:rPr>
        <w:t xml:space="preserve"> 186,495 billion m</w:t>
      </w:r>
      <w:r w:rsidR="00F94957">
        <w:rPr>
          <w:rFonts w:cs="CenturyGothic"/>
          <w:sz w:val="20"/>
          <w:szCs w:val="20"/>
          <w:vertAlign w:val="superscript"/>
          <w:lang w:eastAsia="tr-TR"/>
        </w:rPr>
        <w:t>3</w:t>
      </w:r>
      <w:r>
        <w:rPr>
          <w:rFonts w:cs="CenturyGothic"/>
          <w:sz w:val="20"/>
          <w:szCs w:val="20"/>
          <w:lang w:eastAsia="tr-TR"/>
        </w:rPr>
        <w:t xml:space="preserve"> of natural gas for the same period (2008-2015).</w:t>
      </w:r>
      <w:r w:rsidR="00313276">
        <w:rPr>
          <w:rFonts w:cs="CenturyGothic"/>
          <w:sz w:val="20"/>
          <w:szCs w:val="20"/>
          <w:lang w:eastAsia="tr-TR"/>
        </w:rPr>
        <w:t xml:space="preserve"> </w:t>
      </w:r>
      <w:r w:rsidR="00313276" w:rsidRPr="007366EE">
        <w:rPr>
          <w:sz w:val="20"/>
          <w:szCs w:val="20"/>
        </w:rPr>
        <w:t>Turkish natural gas demand had been projected to increase very rapidly in com</w:t>
      </w:r>
      <w:r w:rsidR="00313276">
        <w:rPr>
          <w:sz w:val="20"/>
          <w:szCs w:val="20"/>
        </w:rPr>
        <w:t>ing years.</w:t>
      </w:r>
      <w:r w:rsidR="00313276" w:rsidRPr="007366EE">
        <w:rPr>
          <w:sz w:val="20"/>
          <w:szCs w:val="20"/>
        </w:rPr>
        <w:t xml:space="preserve"> </w:t>
      </w:r>
    </w:p>
    <w:p w:rsidR="00313276" w:rsidRDefault="00313276" w:rsidP="00313276">
      <w:pPr>
        <w:spacing w:after="0"/>
        <w:rPr>
          <w:sz w:val="20"/>
          <w:szCs w:val="20"/>
        </w:rPr>
      </w:pPr>
    </w:p>
    <w:tbl>
      <w:tblPr>
        <w:tblStyle w:val="LightGrid-Accent11"/>
        <w:tblW w:w="4255" w:type="pct"/>
        <w:jc w:val="center"/>
        <w:tblInd w:w="108" w:type="dxa"/>
        <w:tblLook w:val="04A0"/>
      </w:tblPr>
      <w:tblGrid>
        <w:gridCol w:w="3572"/>
        <w:gridCol w:w="750"/>
        <w:gridCol w:w="714"/>
        <w:gridCol w:w="715"/>
        <w:gridCol w:w="715"/>
        <w:gridCol w:w="715"/>
        <w:gridCol w:w="715"/>
        <w:gridCol w:w="713"/>
      </w:tblGrid>
      <w:tr w:rsidR="00656FDA" w:rsidRPr="00BD680A" w:rsidTr="00E44560">
        <w:trPr>
          <w:cnfStyle w:val="100000000000"/>
          <w:jc w:val="center"/>
        </w:trPr>
        <w:tc>
          <w:tcPr>
            <w:cnfStyle w:val="001000000000"/>
            <w:tcW w:w="5000" w:type="pct"/>
            <w:gridSpan w:val="8"/>
            <w:hideMark/>
          </w:tcPr>
          <w:p w:rsidR="00656FDA" w:rsidRPr="00BD680A" w:rsidRDefault="00656FDA" w:rsidP="00656FDA">
            <w:pPr>
              <w:spacing w:after="0"/>
              <w:jc w:val="center"/>
              <w:rPr>
                <w:rFonts w:asciiTheme="minorHAnsi" w:hAnsiTheme="minorHAnsi"/>
                <w:bCs w:val="0"/>
                <w:sz w:val="20"/>
                <w:szCs w:val="20"/>
                <w:lang w:eastAsia="tr-TR"/>
              </w:rPr>
            </w:pPr>
            <w:r w:rsidRPr="00BD680A">
              <w:rPr>
                <w:rFonts w:asciiTheme="minorHAnsi" w:hAnsiTheme="minorHAnsi"/>
                <w:bCs w:val="0"/>
                <w:sz w:val="20"/>
                <w:szCs w:val="20"/>
                <w:lang w:eastAsia="tr-TR"/>
              </w:rPr>
              <w:t xml:space="preserve">Natural Gas Demand </w:t>
            </w:r>
            <w:r>
              <w:rPr>
                <w:rFonts w:asciiTheme="minorHAnsi" w:hAnsiTheme="minorHAnsi"/>
                <w:bCs w:val="0"/>
                <w:sz w:val="20"/>
                <w:szCs w:val="20"/>
                <w:lang w:eastAsia="tr-TR"/>
              </w:rPr>
              <w:t xml:space="preserve">and </w:t>
            </w:r>
            <w:r w:rsidRPr="00BD680A">
              <w:rPr>
                <w:rFonts w:asciiTheme="minorHAnsi" w:hAnsiTheme="minorHAnsi"/>
                <w:bCs w:val="0"/>
                <w:sz w:val="20"/>
                <w:szCs w:val="20"/>
                <w:lang w:eastAsia="tr-TR"/>
              </w:rPr>
              <w:t xml:space="preserve">Export </w:t>
            </w:r>
            <w:r>
              <w:rPr>
                <w:rFonts w:asciiTheme="minorHAnsi" w:hAnsiTheme="minorHAnsi"/>
                <w:bCs w:val="0"/>
                <w:sz w:val="20"/>
                <w:szCs w:val="20"/>
                <w:lang w:eastAsia="tr-TR"/>
              </w:rPr>
              <w:t>Estimation</w:t>
            </w:r>
            <w:r w:rsidRPr="00BD680A">
              <w:rPr>
                <w:rFonts w:asciiTheme="minorHAnsi" w:hAnsiTheme="minorHAnsi"/>
                <w:bCs w:val="0"/>
                <w:sz w:val="20"/>
                <w:szCs w:val="20"/>
                <w:lang w:eastAsia="tr-TR"/>
              </w:rPr>
              <w:t>(million m³)</w:t>
            </w:r>
          </w:p>
        </w:tc>
      </w:tr>
      <w:tr w:rsidR="00656FDA" w:rsidRPr="00BD680A" w:rsidTr="00313276">
        <w:trPr>
          <w:cnfStyle w:val="000000100000"/>
          <w:jc w:val="center"/>
        </w:trPr>
        <w:tc>
          <w:tcPr>
            <w:cnfStyle w:val="001000000000"/>
            <w:tcW w:w="2075" w:type="pct"/>
            <w:hideMark/>
          </w:tcPr>
          <w:p w:rsidR="00656FDA" w:rsidRPr="00BD680A" w:rsidRDefault="00656FDA" w:rsidP="00656FDA">
            <w:pPr>
              <w:spacing w:after="0"/>
              <w:jc w:val="center"/>
              <w:rPr>
                <w:rFonts w:asciiTheme="minorHAnsi" w:hAnsiTheme="minorHAnsi"/>
                <w:sz w:val="16"/>
                <w:szCs w:val="16"/>
                <w:lang w:eastAsia="tr-TR"/>
              </w:rPr>
            </w:pPr>
            <w:r w:rsidRPr="00BD680A">
              <w:rPr>
                <w:rFonts w:asciiTheme="minorHAnsi" w:hAnsiTheme="minorHAnsi"/>
                <w:b w:val="0"/>
                <w:bCs w:val="0"/>
                <w:sz w:val="16"/>
                <w:szCs w:val="16"/>
                <w:lang w:eastAsia="tr-TR"/>
              </w:rPr>
              <w:t> </w:t>
            </w:r>
          </w:p>
        </w:tc>
        <w:tc>
          <w:tcPr>
            <w:tcW w:w="436"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2008</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2009</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2010</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2015</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2020</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2025</w:t>
            </w:r>
          </w:p>
        </w:tc>
        <w:tc>
          <w:tcPr>
            <w:tcW w:w="414"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b/>
                <w:bCs/>
                <w:sz w:val="16"/>
                <w:szCs w:val="16"/>
                <w:lang w:eastAsia="tr-TR"/>
              </w:rPr>
              <w:t>2030</w:t>
            </w:r>
          </w:p>
        </w:tc>
      </w:tr>
      <w:tr w:rsidR="00656FDA" w:rsidRPr="00BD680A" w:rsidTr="00313276">
        <w:trPr>
          <w:cnfStyle w:val="000000010000"/>
          <w:jc w:val="center"/>
        </w:trPr>
        <w:tc>
          <w:tcPr>
            <w:cnfStyle w:val="001000000000"/>
            <w:tcW w:w="2075" w:type="pct"/>
            <w:hideMark/>
          </w:tcPr>
          <w:p w:rsidR="00656FDA" w:rsidRPr="00BD680A" w:rsidRDefault="00656FDA" w:rsidP="00656FDA">
            <w:pPr>
              <w:spacing w:after="0"/>
              <w:rPr>
                <w:rFonts w:asciiTheme="minorHAnsi" w:hAnsiTheme="minorHAnsi"/>
                <w:sz w:val="16"/>
                <w:szCs w:val="16"/>
                <w:lang w:eastAsia="tr-TR"/>
              </w:rPr>
            </w:pPr>
            <w:r>
              <w:rPr>
                <w:rFonts w:asciiTheme="minorHAnsi" w:hAnsiTheme="minorHAnsi"/>
                <w:b w:val="0"/>
                <w:bCs w:val="0"/>
                <w:sz w:val="16"/>
                <w:szCs w:val="16"/>
                <w:lang w:eastAsia="tr-TR"/>
              </w:rPr>
              <w:t>Natural Gas Demand  Volume o</w:t>
            </w:r>
            <w:r w:rsidRPr="00BD680A">
              <w:rPr>
                <w:rFonts w:asciiTheme="minorHAnsi" w:hAnsiTheme="minorHAnsi"/>
                <w:b w:val="0"/>
                <w:bCs w:val="0"/>
                <w:sz w:val="16"/>
                <w:szCs w:val="16"/>
                <w:lang w:eastAsia="tr-TR"/>
              </w:rPr>
              <w:t>f Turkey</w:t>
            </w:r>
          </w:p>
        </w:tc>
        <w:tc>
          <w:tcPr>
            <w:tcW w:w="436"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37.533</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40.903</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43.806</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56.183</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65.867</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70.546</w:t>
            </w:r>
          </w:p>
        </w:tc>
        <w:tc>
          <w:tcPr>
            <w:tcW w:w="414"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76.378</w:t>
            </w:r>
          </w:p>
        </w:tc>
      </w:tr>
      <w:tr w:rsidR="00656FDA" w:rsidRPr="00BD680A" w:rsidTr="00313276">
        <w:trPr>
          <w:cnfStyle w:val="000000100000"/>
          <w:jc w:val="center"/>
        </w:trPr>
        <w:tc>
          <w:tcPr>
            <w:cnfStyle w:val="001000000000"/>
            <w:tcW w:w="2075" w:type="pct"/>
            <w:hideMark/>
          </w:tcPr>
          <w:p w:rsidR="00656FDA" w:rsidRPr="00BD680A" w:rsidRDefault="00656FDA" w:rsidP="00656FDA">
            <w:pPr>
              <w:spacing w:after="0"/>
              <w:rPr>
                <w:rFonts w:asciiTheme="minorHAnsi" w:hAnsiTheme="minorHAnsi"/>
                <w:sz w:val="16"/>
                <w:szCs w:val="16"/>
                <w:lang w:eastAsia="tr-TR"/>
              </w:rPr>
            </w:pPr>
            <w:r w:rsidRPr="00BD680A">
              <w:rPr>
                <w:rFonts w:asciiTheme="minorHAnsi" w:hAnsiTheme="minorHAnsi"/>
                <w:b w:val="0"/>
                <w:bCs w:val="0"/>
                <w:sz w:val="16"/>
                <w:szCs w:val="16"/>
                <w:lang w:eastAsia="tr-TR"/>
              </w:rPr>
              <w:t>Export (Greece)</w:t>
            </w:r>
          </w:p>
        </w:tc>
        <w:tc>
          <w:tcPr>
            <w:tcW w:w="436"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492</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737</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737</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737</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737</w:t>
            </w:r>
          </w:p>
        </w:tc>
        <w:tc>
          <w:tcPr>
            <w:tcW w:w="415"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0</w:t>
            </w:r>
          </w:p>
        </w:tc>
        <w:tc>
          <w:tcPr>
            <w:tcW w:w="414" w:type="pct"/>
            <w:hideMark/>
          </w:tcPr>
          <w:p w:rsidR="00656FDA" w:rsidRPr="00BD680A" w:rsidRDefault="00656FDA" w:rsidP="00656FDA">
            <w:pPr>
              <w:spacing w:after="0"/>
              <w:jc w:val="center"/>
              <w:cnfStyle w:val="00000010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0</w:t>
            </w:r>
          </w:p>
        </w:tc>
      </w:tr>
      <w:tr w:rsidR="00656FDA" w:rsidRPr="00BD680A" w:rsidTr="00313276">
        <w:trPr>
          <w:cnfStyle w:val="000000010000"/>
          <w:jc w:val="center"/>
        </w:trPr>
        <w:tc>
          <w:tcPr>
            <w:cnfStyle w:val="001000000000"/>
            <w:tcW w:w="2075" w:type="pct"/>
            <w:hideMark/>
          </w:tcPr>
          <w:p w:rsidR="00656FDA" w:rsidRPr="00BD680A" w:rsidRDefault="00656FDA" w:rsidP="00656FDA">
            <w:pPr>
              <w:spacing w:after="0"/>
              <w:rPr>
                <w:rFonts w:asciiTheme="minorHAnsi" w:hAnsiTheme="minorHAnsi"/>
                <w:sz w:val="16"/>
                <w:szCs w:val="16"/>
                <w:lang w:eastAsia="tr-TR"/>
              </w:rPr>
            </w:pPr>
            <w:r w:rsidRPr="00BD680A">
              <w:rPr>
                <w:rFonts w:asciiTheme="minorHAnsi" w:hAnsiTheme="minorHAnsi"/>
                <w:b w:val="0"/>
                <w:bCs w:val="0"/>
                <w:sz w:val="16"/>
                <w:szCs w:val="16"/>
                <w:lang w:eastAsia="tr-TR"/>
              </w:rPr>
              <w:t>Total Demand</w:t>
            </w:r>
          </w:p>
        </w:tc>
        <w:tc>
          <w:tcPr>
            <w:tcW w:w="436"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38.025</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41.640</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44.543</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56.920</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66.604</w:t>
            </w:r>
          </w:p>
        </w:tc>
        <w:tc>
          <w:tcPr>
            <w:tcW w:w="415"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70.546</w:t>
            </w:r>
          </w:p>
        </w:tc>
        <w:tc>
          <w:tcPr>
            <w:tcW w:w="414" w:type="pct"/>
            <w:hideMark/>
          </w:tcPr>
          <w:p w:rsidR="00656FDA" w:rsidRPr="00BD680A" w:rsidRDefault="00656FDA" w:rsidP="00656FDA">
            <w:pPr>
              <w:spacing w:after="0"/>
              <w:jc w:val="center"/>
              <w:cnfStyle w:val="000000010000"/>
              <w:rPr>
                <w:rFonts w:asciiTheme="minorHAnsi" w:eastAsia="Times New Roman" w:hAnsiTheme="minorHAnsi"/>
                <w:sz w:val="16"/>
                <w:szCs w:val="16"/>
                <w:lang w:eastAsia="tr-TR"/>
              </w:rPr>
            </w:pPr>
            <w:r w:rsidRPr="00BD680A">
              <w:rPr>
                <w:rFonts w:asciiTheme="minorHAnsi" w:eastAsia="Times New Roman" w:hAnsiTheme="minorHAnsi"/>
                <w:sz w:val="16"/>
                <w:szCs w:val="16"/>
                <w:lang w:eastAsia="tr-TR"/>
              </w:rPr>
              <w:t>76.378</w:t>
            </w:r>
          </w:p>
        </w:tc>
      </w:tr>
    </w:tbl>
    <w:p w:rsidR="00656FDA" w:rsidRPr="0041328B" w:rsidRDefault="00656FDA" w:rsidP="00E44560">
      <w:pPr>
        <w:spacing w:after="0"/>
        <w:ind w:firstLine="720"/>
        <w:rPr>
          <w:rFonts w:eastAsia="Times New Roman"/>
          <w:sz w:val="20"/>
          <w:szCs w:val="20"/>
          <w:lang w:eastAsia="tr-TR"/>
        </w:rPr>
      </w:pPr>
      <w:r w:rsidRPr="00E1524F">
        <w:rPr>
          <w:rFonts w:eastAsia="Times New Roman"/>
          <w:b/>
          <w:i/>
          <w:sz w:val="16"/>
          <w:szCs w:val="16"/>
          <w:lang w:eastAsia="tr-TR"/>
        </w:rPr>
        <w:t>Source:</w:t>
      </w:r>
      <w:r>
        <w:rPr>
          <w:rFonts w:eastAsia="Times New Roman"/>
          <w:sz w:val="16"/>
          <w:szCs w:val="16"/>
          <w:lang w:eastAsia="tr-TR"/>
        </w:rPr>
        <w:t xml:space="preserve"> BOTAS</w:t>
      </w:r>
    </w:p>
    <w:p w:rsidR="00DC241B" w:rsidRDefault="00DC241B" w:rsidP="006C32F3">
      <w:pPr>
        <w:spacing w:after="0"/>
        <w:jc w:val="both"/>
        <w:rPr>
          <w:rFonts w:eastAsia="Times New Roman"/>
          <w:sz w:val="20"/>
          <w:szCs w:val="20"/>
          <w:lang w:eastAsia="tr-TR"/>
        </w:rPr>
      </w:pPr>
    </w:p>
    <w:p w:rsidR="006C32F3" w:rsidRDefault="00313276" w:rsidP="00313276">
      <w:pPr>
        <w:spacing w:after="0"/>
        <w:rPr>
          <w:rFonts w:eastAsia="Times New Roman"/>
          <w:sz w:val="20"/>
          <w:szCs w:val="20"/>
          <w:lang w:eastAsia="tr-TR"/>
        </w:rPr>
      </w:pPr>
      <w:r>
        <w:rPr>
          <w:sz w:val="20"/>
          <w:szCs w:val="20"/>
        </w:rPr>
        <w:t xml:space="preserve"> The prime consumers are</w:t>
      </w:r>
      <w:r w:rsidRPr="007366EE">
        <w:rPr>
          <w:sz w:val="20"/>
          <w:szCs w:val="20"/>
        </w:rPr>
        <w:t xml:space="preserve"> </w:t>
      </w:r>
      <w:proofErr w:type="gramStart"/>
      <w:r w:rsidRPr="007366EE">
        <w:rPr>
          <w:sz w:val="20"/>
          <w:szCs w:val="20"/>
        </w:rPr>
        <w:t>be</w:t>
      </w:r>
      <w:proofErr w:type="gramEnd"/>
      <w:r w:rsidRPr="007366EE">
        <w:rPr>
          <w:sz w:val="20"/>
          <w:szCs w:val="20"/>
        </w:rPr>
        <w:t xml:space="preserve"> natural gas-fired electric power plants and </w:t>
      </w:r>
      <w:r w:rsidRPr="0063701D">
        <w:rPr>
          <w:sz w:val="20"/>
          <w:szCs w:val="20"/>
        </w:rPr>
        <w:t xml:space="preserve">industrial users. </w:t>
      </w:r>
      <w:r w:rsidR="0041328B" w:rsidRPr="0063701D">
        <w:rPr>
          <w:rFonts w:eastAsia="Times New Roman"/>
          <w:sz w:val="20"/>
          <w:szCs w:val="20"/>
          <w:lang w:eastAsia="tr-TR"/>
        </w:rPr>
        <w:t xml:space="preserve">In 2007, </w:t>
      </w:r>
      <w:r w:rsidR="006C32F3" w:rsidRPr="0063701D">
        <w:rPr>
          <w:rFonts w:eastAsia="Times New Roman"/>
          <w:sz w:val="20"/>
          <w:szCs w:val="20"/>
          <w:lang w:eastAsia="tr-TR"/>
        </w:rPr>
        <w:t xml:space="preserve">35.064 </w:t>
      </w:r>
      <w:r w:rsidR="00E2207A" w:rsidRPr="0063701D">
        <w:rPr>
          <w:rFonts w:eastAsia="Times New Roman"/>
          <w:sz w:val="20"/>
          <w:szCs w:val="20"/>
          <w:lang w:eastAsia="tr-TR"/>
        </w:rPr>
        <w:t>m</w:t>
      </w:r>
      <w:r w:rsidR="0041328B" w:rsidRPr="0063701D">
        <w:rPr>
          <w:rFonts w:eastAsia="Times New Roman"/>
          <w:sz w:val="20"/>
          <w:szCs w:val="20"/>
          <w:lang w:eastAsia="tr-TR"/>
        </w:rPr>
        <w:t xml:space="preserve">illion </w:t>
      </w:r>
      <w:r w:rsidR="00E2207A" w:rsidRPr="0063701D">
        <w:rPr>
          <w:rFonts w:eastAsia="Times New Roman"/>
          <w:sz w:val="20"/>
          <w:szCs w:val="20"/>
          <w:lang w:eastAsia="tr-TR"/>
        </w:rPr>
        <w:t>m</w:t>
      </w:r>
      <w:r w:rsidR="00E2207A" w:rsidRPr="0063701D">
        <w:rPr>
          <w:rFonts w:eastAsia="Times New Roman"/>
          <w:sz w:val="20"/>
          <w:szCs w:val="20"/>
          <w:vertAlign w:val="superscript"/>
          <w:lang w:eastAsia="tr-TR"/>
        </w:rPr>
        <w:t>3</w:t>
      </w:r>
      <w:r w:rsidR="006C32F3" w:rsidRPr="0063701D">
        <w:rPr>
          <w:rFonts w:eastAsia="Times New Roman"/>
          <w:sz w:val="20"/>
          <w:szCs w:val="20"/>
          <w:lang w:eastAsia="tr-TR"/>
        </w:rPr>
        <w:t xml:space="preserve"> of natu</w:t>
      </w:r>
      <w:r w:rsidR="0041328B" w:rsidRPr="0063701D">
        <w:rPr>
          <w:rFonts w:eastAsia="Times New Roman"/>
          <w:sz w:val="20"/>
          <w:szCs w:val="20"/>
          <w:lang w:eastAsia="tr-TR"/>
        </w:rPr>
        <w:t>ral gas was sold for</w:t>
      </w:r>
      <w:r w:rsidR="00E07F74" w:rsidRPr="0063701D">
        <w:rPr>
          <w:rFonts w:eastAsia="Times New Roman"/>
          <w:sz w:val="20"/>
          <w:szCs w:val="20"/>
          <w:lang w:eastAsia="tr-TR"/>
        </w:rPr>
        <w:t xml:space="preserve"> power</w:t>
      </w:r>
      <w:r w:rsidR="0063701D" w:rsidRPr="0063701D">
        <w:rPr>
          <w:rFonts w:eastAsia="Times New Roman"/>
          <w:sz w:val="20"/>
          <w:szCs w:val="20"/>
          <w:lang w:eastAsia="tr-TR"/>
        </w:rPr>
        <w:t xml:space="preserve"> (19.658 million m</w:t>
      </w:r>
      <w:r w:rsidR="0063701D" w:rsidRPr="0063701D">
        <w:rPr>
          <w:rFonts w:eastAsia="Times New Roman"/>
          <w:sz w:val="20"/>
          <w:szCs w:val="20"/>
          <w:vertAlign w:val="superscript"/>
          <w:lang w:eastAsia="tr-TR"/>
        </w:rPr>
        <w:t>3</w:t>
      </w:r>
      <w:r w:rsidR="0063701D" w:rsidRPr="0063701D">
        <w:rPr>
          <w:rFonts w:eastAsia="Times New Roman"/>
          <w:sz w:val="20"/>
          <w:szCs w:val="20"/>
          <w:lang w:eastAsia="tr-TR"/>
        </w:rPr>
        <w:t>)</w:t>
      </w:r>
      <w:r w:rsidR="006C32F3" w:rsidRPr="0063701D">
        <w:rPr>
          <w:rFonts w:eastAsia="Times New Roman"/>
          <w:sz w:val="20"/>
          <w:szCs w:val="20"/>
          <w:lang w:eastAsia="tr-TR"/>
        </w:rPr>
        <w:t>,</w:t>
      </w:r>
      <w:r w:rsidR="00B52386" w:rsidRPr="0063701D">
        <w:rPr>
          <w:rFonts w:eastAsia="Times New Roman"/>
          <w:sz w:val="20"/>
          <w:szCs w:val="20"/>
          <w:lang w:eastAsia="tr-TR"/>
        </w:rPr>
        <w:t xml:space="preserve"> </w:t>
      </w:r>
      <w:r w:rsidR="0041328B" w:rsidRPr="0063701D">
        <w:rPr>
          <w:rFonts w:eastAsia="Times New Roman"/>
          <w:sz w:val="20"/>
          <w:szCs w:val="20"/>
          <w:lang w:eastAsia="tr-TR"/>
        </w:rPr>
        <w:t>industrial</w:t>
      </w:r>
      <w:r w:rsidR="0063701D" w:rsidRPr="0063701D">
        <w:rPr>
          <w:rFonts w:eastAsia="Times New Roman"/>
          <w:sz w:val="20"/>
          <w:szCs w:val="20"/>
          <w:lang w:eastAsia="tr-TR"/>
        </w:rPr>
        <w:t xml:space="preserve"> (7.836 million m</w:t>
      </w:r>
      <w:r w:rsidR="0063701D" w:rsidRPr="0063701D">
        <w:rPr>
          <w:rFonts w:eastAsia="Times New Roman"/>
          <w:sz w:val="20"/>
          <w:szCs w:val="20"/>
          <w:vertAlign w:val="superscript"/>
          <w:lang w:eastAsia="tr-TR"/>
        </w:rPr>
        <w:t>3</w:t>
      </w:r>
      <w:r w:rsidR="0063701D" w:rsidRPr="0063701D">
        <w:rPr>
          <w:rFonts w:eastAsia="Times New Roman"/>
          <w:sz w:val="20"/>
          <w:szCs w:val="20"/>
          <w:lang w:eastAsia="tr-TR"/>
        </w:rPr>
        <w:t xml:space="preserve">) </w:t>
      </w:r>
      <w:r w:rsidR="0041328B" w:rsidRPr="0063701D">
        <w:rPr>
          <w:rFonts w:eastAsia="Times New Roman"/>
          <w:sz w:val="20"/>
          <w:szCs w:val="20"/>
          <w:lang w:eastAsia="tr-TR"/>
        </w:rPr>
        <w:t>and residential purposes</w:t>
      </w:r>
      <w:r w:rsidR="0063701D" w:rsidRPr="0063701D">
        <w:rPr>
          <w:rFonts w:eastAsia="Times New Roman"/>
          <w:sz w:val="20"/>
          <w:szCs w:val="20"/>
          <w:lang w:eastAsia="tr-TR"/>
        </w:rPr>
        <w:t xml:space="preserve"> (7.570</w:t>
      </w:r>
      <w:r w:rsidR="0063701D">
        <w:rPr>
          <w:rFonts w:eastAsia="Times New Roman"/>
          <w:sz w:val="20"/>
          <w:szCs w:val="20"/>
          <w:lang w:eastAsia="tr-TR"/>
        </w:rPr>
        <w:t xml:space="preserve"> </w:t>
      </w:r>
      <w:r w:rsidR="0063701D" w:rsidRPr="0063701D">
        <w:rPr>
          <w:rFonts w:eastAsia="Times New Roman"/>
          <w:sz w:val="20"/>
          <w:szCs w:val="20"/>
          <w:lang w:eastAsia="tr-TR"/>
        </w:rPr>
        <w:t>million m</w:t>
      </w:r>
      <w:r w:rsidR="0063701D" w:rsidRPr="0063701D">
        <w:rPr>
          <w:rFonts w:eastAsia="Times New Roman"/>
          <w:sz w:val="20"/>
          <w:szCs w:val="20"/>
          <w:vertAlign w:val="superscript"/>
          <w:lang w:eastAsia="tr-TR"/>
        </w:rPr>
        <w:t>3</w:t>
      </w:r>
      <w:r w:rsidR="0063701D" w:rsidRPr="0063701D">
        <w:rPr>
          <w:rFonts w:eastAsia="Times New Roman"/>
          <w:sz w:val="20"/>
          <w:szCs w:val="20"/>
          <w:lang w:eastAsia="tr-TR"/>
        </w:rPr>
        <w:t>)</w:t>
      </w:r>
      <w:r w:rsidR="00022137">
        <w:rPr>
          <w:rFonts w:eastAsia="Times New Roman"/>
          <w:sz w:val="20"/>
          <w:szCs w:val="20"/>
          <w:lang w:eastAsia="tr-TR"/>
        </w:rPr>
        <w:t>.</w:t>
      </w:r>
    </w:p>
    <w:tbl>
      <w:tblPr>
        <w:tblStyle w:val="LightGrid-Accent11"/>
        <w:tblW w:w="3491" w:type="pct"/>
        <w:jc w:val="center"/>
        <w:tblInd w:w="1368" w:type="dxa"/>
        <w:tblLook w:val="04A0"/>
      </w:tblPr>
      <w:tblGrid>
        <w:gridCol w:w="2758"/>
        <w:gridCol w:w="2106"/>
        <w:gridCol w:w="2199"/>
      </w:tblGrid>
      <w:tr w:rsidR="00E44560" w:rsidRPr="00E44560" w:rsidTr="002270AF">
        <w:trPr>
          <w:cnfStyle w:val="100000000000"/>
          <w:jc w:val="center"/>
        </w:trPr>
        <w:tc>
          <w:tcPr>
            <w:cnfStyle w:val="001000000000"/>
            <w:tcW w:w="5000" w:type="pct"/>
            <w:gridSpan w:val="3"/>
          </w:tcPr>
          <w:p w:rsidR="00E44560" w:rsidRPr="00E44560" w:rsidRDefault="002270AF" w:rsidP="002270AF">
            <w:pPr>
              <w:spacing w:after="0"/>
              <w:jc w:val="center"/>
              <w:rPr>
                <w:rFonts w:asciiTheme="minorHAnsi" w:hAnsiTheme="minorHAnsi"/>
                <w:b w:val="0"/>
                <w:sz w:val="16"/>
                <w:szCs w:val="16"/>
                <w:lang w:eastAsia="tr-TR"/>
              </w:rPr>
            </w:pPr>
            <w:r w:rsidRPr="00E44560">
              <w:rPr>
                <w:rFonts w:asciiTheme="minorHAnsi" w:hAnsiTheme="minorHAnsi"/>
                <w:bCs w:val="0"/>
                <w:sz w:val="20"/>
                <w:szCs w:val="20"/>
                <w:lang w:eastAsia="tr-TR"/>
              </w:rPr>
              <w:t xml:space="preserve">Types </w:t>
            </w:r>
            <w:r>
              <w:rPr>
                <w:rFonts w:asciiTheme="minorHAnsi" w:hAnsiTheme="minorHAnsi"/>
                <w:bCs w:val="0"/>
                <w:sz w:val="20"/>
                <w:szCs w:val="20"/>
                <w:lang w:eastAsia="tr-TR"/>
              </w:rPr>
              <w:t>and Number o</w:t>
            </w:r>
            <w:r w:rsidRPr="00E44560">
              <w:rPr>
                <w:rFonts w:asciiTheme="minorHAnsi" w:hAnsiTheme="minorHAnsi"/>
                <w:bCs w:val="0"/>
                <w:sz w:val="20"/>
                <w:szCs w:val="20"/>
                <w:lang w:eastAsia="tr-TR"/>
              </w:rPr>
              <w:t>f Customers Under Contract</w:t>
            </w:r>
            <w:r>
              <w:rPr>
                <w:rFonts w:asciiTheme="minorHAnsi" w:hAnsiTheme="minorHAnsi"/>
                <w:bCs w:val="0"/>
                <w:sz w:val="20"/>
                <w:szCs w:val="20"/>
                <w:lang w:eastAsia="tr-TR"/>
              </w:rPr>
              <w:t xml:space="preserve"> (2007)</w:t>
            </w:r>
          </w:p>
        </w:tc>
      </w:tr>
      <w:tr w:rsidR="00E44560" w:rsidRPr="00E44560" w:rsidTr="002270AF">
        <w:trPr>
          <w:cnfStyle w:val="000000100000"/>
          <w:jc w:val="center"/>
        </w:trPr>
        <w:tc>
          <w:tcPr>
            <w:cnfStyle w:val="001000000000"/>
            <w:tcW w:w="1952" w:type="pct"/>
            <w:hideMark/>
          </w:tcPr>
          <w:p w:rsidR="00E44560" w:rsidRPr="00E44560" w:rsidRDefault="002270AF" w:rsidP="00E44560">
            <w:pPr>
              <w:spacing w:after="0"/>
              <w:rPr>
                <w:rFonts w:asciiTheme="minorHAnsi" w:hAnsiTheme="minorHAnsi"/>
                <w:sz w:val="16"/>
                <w:szCs w:val="16"/>
                <w:lang w:eastAsia="tr-TR"/>
              </w:rPr>
            </w:pPr>
            <w:r w:rsidRPr="00E44560">
              <w:rPr>
                <w:rFonts w:asciiTheme="minorHAnsi" w:hAnsiTheme="minorHAnsi"/>
                <w:bCs w:val="0"/>
                <w:sz w:val="16"/>
                <w:szCs w:val="16"/>
                <w:lang w:eastAsia="tr-TR"/>
              </w:rPr>
              <w:t>Customer Type</w:t>
            </w:r>
          </w:p>
        </w:tc>
        <w:tc>
          <w:tcPr>
            <w:tcW w:w="1491" w:type="pct"/>
            <w:hideMark/>
          </w:tcPr>
          <w:p w:rsidR="00E44560" w:rsidRPr="00E44560" w:rsidRDefault="002270AF" w:rsidP="00E44560">
            <w:pPr>
              <w:spacing w:after="0"/>
              <w:jc w:val="center"/>
              <w:cnfStyle w:val="000000100000"/>
              <w:rPr>
                <w:rFonts w:asciiTheme="minorHAnsi" w:eastAsia="Times New Roman" w:hAnsiTheme="minorHAnsi"/>
                <w:sz w:val="16"/>
                <w:szCs w:val="16"/>
                <w:lang w:eastAsia="tr-TR"/>
              </w:rPr>
            </w:pPr>
            <w:r>
              <w:rPr>
                <w:rFonts w:asciiTheme="minorHAnsi" w:hAnsiTheme="minorHAnsi"/>
                <w:b/>
                <w:bCs/>
                <w:sz w:val="16"/>
                <w:szCs w:val="16"/>
                <w:lang w:eastAsia="tr-TR"/>
              </w:rPr>
              <w:t xml:space="preserve">Receiving </w:t>
            </w:r>
            <w:r w:rsidRPr="00E44560">
              <w:rPr>
                <w:rFonts w:asciiTheme="minorHAnsi" w:eastAsia="Times New Roman" w:hAnsiTheme="minorHAnsi"/>
                <w:b/>
                <w:bCs/>
                <w:sz w:val="16"/>
                <w:szCs w:val="16"/>
                <w:lang w:eastAsia="tr-TR"/>
              </w:rPr>
              <w:t>Gas</w:t>
            </w:r>
          </w:p>
        </w:tc>
        <w:tc>
          <w:tcPr>
            <w:tcW w:w="1557" w:type="pct"/>
            <w:hideMark/>
          </w:tcPr>
          <w:p w:rsidR="00E44560" w:rsidRPr="00E44560" w:rsidRDefault="002270AF" w:rsidP="00E44560">
            <w:pPr>
              <w:spacing w:after="0"/>
              <w:jc w:val="center"/>
              <w:cnfStyle w:val="000000100000"/>
              <w:rPr>
                <w:rFonts w:asciiTheme="minorHAnsi" w:eastAsia="Times New Roman" w:hAnsiTheme="minorHAnsi"/>
                <w:sz w:val="16"/>
                <w:szCs w:val="16"/>
                <w:lang w:eastAsia="tr-TR"/>
              </w:rPr>
            </w:pPr>
            <w:r>
              <w:rPr>
                <w:rFonts w:asciiTheme="minorHAnsi" w:hAnsiTheme="minorHAnsi"/>
                <w:b/>
                <w:bCs/>
                <w:sz w:val="16"/>
                <w:szCs w:val="16"/>
                <w:lang w:eastAsia="tr-TR"/>
              </w:rPr>
              <w:t xml:space="preserve">Not Receiving </w:t>
            </w:r>
            <w:r w:rsidRPr="00E44560">
              <w:rPr>
                <w:rFonts w:asciiTheme="minorHAnsi" w:eastAsia="Times New Roman" w:hAnsiTheme="minorHAnsi"/>
                <w:b/>
                <w:bCs/>
                <w:sz w:val="16"/>
                <w:szCs w:val="16"/>
                <w:lang w:eastAsia="tr-TR"/>
              </w:rPr>
              <w:t>Gas</w:t>
            </w:r>
          </w:p>
        </w:tc>
      </w:tr>
      <w:tr w:rsidR="00E44560" w:rsidRPr="00E44560" w:rsidTr="002270AF">
        <w:trPr>
          <w:cnfStyle w:val="00000001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Build-Operate-Transfers</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4</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1</w:t>
            </w:r>
          </w:p>
        </w:tc>
      </w:tr>
      <w:tr w:rsidR="00E44560" w:rsidRPr="00E44560" w:rsidTr="002270AF">
        <w:trPr>
          <w:cnfStyle w:val="00000010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 xml:space="preserve">Build-Operates </w:t>
            </w:r>
          </w:p>
        </w:tc>
        <w:tc>
          <w:tcPr>
            <w:tcW w:w="1491"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4</w:t>
            </w:r>
          </w:p>
        </w:tc>
        <w:tc>
          <w:tcPr>
            <w:tcW w:w="1557"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010000"/>
          <w:jc w:val="center"/>
        </w:trPr>
        <w:tc>
          <w:tcPr>
            <w:cnfStyle w:val="001000000000"/>
            <w:tcW w:w="1952" w:type="pct"/>
            <w:hideMark/>
          </w:tcPr>
          <w:p w:rsidR="00E44560" w:rsidRPr="00E44560" w:rsidRDefault="00E44560" w:rsidP="00E44560">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State Owned Power Plants</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4</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10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Distribution Companies</w:t>
            </w:r>
          </w:p>
        </w:tc>
        <w:tc>
          <w:tcPr>
            <w:tcW w:w="1491"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51</w:t>
            </w:r>
          </w:p>
        </w:tc>
        <w:tc>
          <w:tcPr>
            <w:tcW w:w="1557"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01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Organized Industry Zones</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49</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1</w:t>
            </w:r>
          </w:p>
        </w:tc>
      </w:tr>
      <w:tr w:rsidR="00E44560" w:rsidRPr="00E44560" w:rsidTr="002270AF">
        <w:trPr>
          <w:cnfStyle w:val="00000010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 xml:space="preserve">Distribution </w:t>
            </w:r>
            <w:proofErr w:type="spellStart"/>
            <w:r w:rsidRPr="00E44560">
              <w:rPr>
                <w:rFonts w:asciiTheme="minorHAnsi" w:hAnsiTheme="minorHAnsi"/>
                <w:b w:val="0"/>
                <w:sz w:val="16"/>
                <w:szCs w:val="16"/>
                <w:lang w:eastAsia="tr-TR"/>
              </w:rPr>
              <w:t>Pru</w:t>
            </w:r>
            <w:proofErr w:type="spellEnd"/>
            <w:r w:rsidRPr="00E44560">
              <w:rPr>
                <w:rFonts w:asciiTheme="minorHAnsi" w:hAnsiTheme="minorHAnsi"/>
                <w:b w:val="0"/>
                <w:sz w:val="16"/>
                <w:szCs w:val="16"/>
                <w:lang w:eastAsia="tr-TR"/>
              </w:rPr>
              <w:t>–Ate Customers</w:t>
            </w:r>
          </w:p>
        </w:tc>
        <w:tc>
          <w:tcPr>
            <w:tcW w:w="1491"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5</w:t>
            </w:r>
          </w:p>
        </w:tc>
        <w:tc>
          <w:tcPr>
            <w:tcW w:w="1557"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01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Auto-Producers</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83</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100000"/>
          <w:jc w:val="center"/>
        </w:trPr>
        <w:tc>
          <w:tcPr>
            <w:cnfStyle w:val="001000000000"/>
            <w:tcW w:w="1952" w:type="pct"/>
            <w:hideMark/>
          </w:tcPr>
          <w:p w:rsidR="00E44560" w:rsidRPr="00E44560" w:rsidRDefault="00E44560" w:rsidP="00E44560">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CNG Customers</w:t>
            </w:r>
          </w:p>
        </w:tc>
        <w:tc>
          <w:tcPr>
            <w:tcW w:w="1491"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2</w:t>
            </w:r>
          </w:p>
        </w:tc>
        <w:tc>
          <w:tcPr>
            <w:tcW w:w="1557"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01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LNG Customers</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10</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0</w:t>
            </w:r>
          </w:p>
        </w:tc>
      </w:tr>
      <w:tr w:rsidR="00E44560" w:rsidRPr="00E44560" w:rsidTr="002270AF">
        <w:trPr>
          <w:cnfStyle w:val="000000100000"/>
          <w:jc w:val="center"/>
        </w:trPr>
        <w:tc>
          <w:tcPr>
            <w:cnfStyle w:val="001000000000"/>
            <w:tcW w:w="1952" w:type="pct"/>
            <w:hideMark/>
          </w:tcPr>
          <w:p w:rsidR="00E44560" w:rsidRPr="00E44560" w:rsidRDefault="00E44560" w:rsidP="006C32F3">
            <w:pPr>
              <w:spacing w:after="0"/>
              <w:rPr>
                <w:rFonts w:asciiTheme="minorHAnsi" w:hAnsiTheme="minorHAnsi"/>
                <w:b w:val="0"/>
                <w:sz w:val="16"/>
                <w:szCs w:val="16"/>
                <w:lang w:eastAsia="tr-TR"/>
              </w:rPr>
            </w:pPr>
            <w:r w:rsidRPr="00E44560">
              <w:rPr>
                <w:rFonts w:asciiTheme="minorHAnsi" w:hAnsiTheme="minorHAnsi"/>
                <w:b w:val="0"/>
                <w:sz w:val="16"/>
                <w:szCs w:val="16"/>
                <w:lang w:eastAsia="tr-TR"/>
              </w:rPr>
              <w:t>Industrialists</w:t>
            </w:r>
          </w:p>
        </w:tc>
        <w:tc>
          <w:tcPr>
            <w:tcW w:w="1491"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213</w:t>
            </w:r>
          </w:p>
        </w:tc>
        <w:tc>
          <w:tcPr>
            <w:tcW w:w="1557" w:type="pct"/>
            <w:hideMark/>
          </w:tcPr>
          <w:p w:rsidR="00E44560" w:rsidRPr="00E44560" w:rsidRDefault="00E44560" w:rsidP="006C32F3">
            <w:pPr>
              <w:spacing w:after="0"/>
              <w:jc w:val="center"/>
              <w:cnfStyle w:val="000000100000"/>
              <w:rPr>
                <w:rFonts w:asciiTheme="minorHAnsi" w:eastAsia="Times New Roman" w:hAnsiTheme="minorHAnsi"/>
                <w:sz w:val="16"/>
                <w:szCs w:val="16"/>
                <w:lang w:eastAsia="tr-TR"/>
              </w:rPr>
            </w:pPr>
            <w:r w:rsidRPr="00E44560">
              <w:rPr>
                <w:rFonts w:asciiTheme="minorHAnsi" w:eastAsia="Times New Roman" w:hAnsiTheme="minorHAnsi"/>
                <w:sz w:val="16"/>
                <w:szCs w:val="16"/>
                <w:lang w:eastAsia="tr-TR"/>
              </w:rPr>
              <w:t>22</w:t>
            </w:r>
          </w:p>
        </w:tc>
      </w:tr>
      <w:tr w:rsidR="00E44560" w:rsidRPr="00E44560" w:rsidTr="002270AF">
        <w:trPr>
          <w:cnfStyle w:val="000000010000"/>
          <w:jc w:val="center"/>
        </w:trPr>
        <w:tc>
          <w:tcPr>
            <w:cnfStyle w:val="001000000000"/>
            <w:tcW w:w="1952" w:type="pct"/>
          </w:tcPr>
          <w:p w:rsidR="00E44560" w:rsidRPr="00E44560" w:rsidRDefault="00E44560" w:rsidP="00E44560">
            <w:pPr>
              <w:spacing w:after="0"/>
              <w:rPr>
                <w:rFonts w:asciiTheme="minorHAnsi" w:hAnsiTheme="minorHAnsi"/>
                <w:b w:val="0"/>
                <w:bCs w:val="0"/>
                <w:sz w:val="16"/>
                <w:szCs w:val="16"/>
                <w:lang w:eastAsia="tr-TR"/>
              </w:rPr>
            </w:pPr>
            <w:r w:rsidRPr="00E44560">
              <w:rPr>
                <w:rFonts w:asciiTheme="minorHAnsi" w:hAnsiTheme="minorHAnsi"/>
                <w:bCs w:val="0"/>
                <w:sz w:val="16"/>
                <w:szCs w:val="16"/>
                <w:lang w:eastAsia="tr-TR"/>
              </w:rPr>
              <w:t xml:space="preserve">TOTAL </w:t>
            </w:r>
          </w:p>
        </w:tc>
        <w:tc>
          <w:tcPr>
            <w:tcW w:w="1491"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b/>
                <w:bCs/>
                <w:sz w:val="16"/>
                <w:szCs w:val="16"/>
                <w:lang w:eastAsia="tr-TR"/>
              </w:rPr>
              <w:t>425</w:t>
            </w:r>
          </w:p>
        </w:tc>
        <w:tc>
          <w:tcPr>
            <w:tcW w:w="1557" w:type="pct"/>
            <w:hideMark/>
          </w:tcPr>
          <w:p w:rsidR="00E44560" w:rsidRPr="00E44560" w:rsidRDefault="00E44560" w:rsidP="006C32F3">
            <w:pPr>
              <w:spacing w:after="0"/>
              <w:jc w:val="center"/>
              <w:cnfStyle w:val="000000010000"/>
              <w:rPr>
                <w:rFonts w:asciiTheme="minorHAnsi" w:eastAsia="Times New Roman" w:hAnsiTheme="minorHAnsi"/>
                <w:sz w:val="16"/>
                <w:szCs w:val="16"/>
                <w:lang w:eastAsia="tr-TR"/>
              </w:rPr>
            </w:pPr>
            <w:r w:rsidRPr="00E44560">
              <w:rPr>
                <w:rFonts w:asciiTheme="minorHAnsi" w:eastAsia="Times New Roman" w:hAnsiTheme="minorHAnsi"/>
                <w:b/>
                <w:bCs/>
                <w:sz w:val="16"/>
                <w:szCs w:val="16"/>
                <w:lang w:eastAsia="tr-TR"/>
              </w:rPr>
              <w:t>24</w:t>
            </w:r>
          </w:p>
        </w:tc>
      </w:tr>
    </w:tbl>
    <w:p w:rsidR="006C32F3" w:rsidRDefault="002270AF" w:rsidP="006C32F3">
      <w:pPr>
        <w:tabs>
          <w:tab w:val="left" w:pos="3877"/>
        </w:tabs>
        <w:spacing w:after="0"/>
        <w:rPr>
          <w:rFonts w:eastAsia="Times New Roman"/>
          <w:sz w:val="16"/>
          <w:szCs w:val="16"/>
          <w:lang w:eastAsia="tr-TR"/>
        </w:rPr>
      </w:pPr>
      <w:r>
        <w:rPr>
          <w:rFonts w:cs="CenturyGothic"/>
          <w:sz w:val="20"/>
          <w:szCs w:val="20"/>
          <w:lang w:eastAsia="tr-TR"/>
        </w:rPr>
        <w:t xml:space="preserve">                              </w:t>
      </w:r>
      <w:r w:rsidRPr="00E1524F">
        <w:rPr>
          <w:rFonts w:eastAsia="Times New Roman"/>
          <w:b/>
          <w:i/>
          <w:sz w:val="16"/>
          <w:szCs w:val="16"/>
          <w:lang w:eastAsia="tr-TR"/>
        </w:rPr>
        <w:t>Source:</w:t>
      </w:r>
      <w:r>
        <w:rPr>
          <w:rFonts w:eastAsia="Times New Roman"/>
          <w:sz w:val="16"/>
          <w:szCs w:val="16"/>
          <w:lang w:eastAsia="tr-TR"/>
        </w:rPr>
        <w:t xml:space="preserve"> BOTAS</w:t>
      </w:r>
    </w:p>
    <w:p w:rsidR="002270AF" w:rsidRDefault="002270AF" w:rsidP="006C32F3">
      <w:pPr>
        <w:tabs>
          <w:tab w:val="left" w:pos="3877"/>
        </w:tabs>
        <w:spacing w:after="0"/>
        <w:rPr>
          <w:rFonts w:eastAsia="Times New Roman"/>
          <w:sz w:val="16"/>
          <w:szCs w:val="16"/>
          <w:lang w:eastAsia="tr-TR"/>
        </w:rPr>
      </w:pPr>
    </w:p>
    <w:p w:rsidR="00922BFE" w:rsidRPr="002F19AC" w:rsidRDefault="00884BB6" w:rsidP="002F19AC">
      <w:pPr>
        <w:spacing w:after="0"/>
        <w:rPr>
          <w:sz w:val="16"/>
          <w:szCs w:val="16"/>
        </w:rPr>
      </w:pPr>
      <w:r>
        <w:rPr>
          <w:rStyle w:val="csssubheading1"/>
          <w:b/>
          <w:sz w:val="20"/>
          <w:szCs w:val="20"/>
        </w:rPr>
        <w:t xml:space="preserve">Players in the </w:t>
      </w:r>
      <w:r w:rsidR="00EF5504">
        <w:rPr>
          <w:rStyle w:val="csssubheading1"/>
          <w:b/>
          <w:sz w:val="20"/>
          <w:szCs w:val="20"/>
        </w:rPr>
        <w:t>Sector</w:t>
      </w:r>
    </w:p>
    <w:p w:rsidR="00922BFE" w:rsidRPr="007366EE" w:rsidRDefault="00922BFE" w:rsidP="00CE0266">
      <w:pPr>
        <w:spacing w:after="0"/>
        <w:rPr>
          <w:sz w:val="20"/>
          <w:szCs w:val="20"/>
        </w:rPr>
      </w:pPr>
      <w:r w:rsidRPr="007366EE">
        <w:rPr>
          <w:sz w:val="20"/>
          <w:szCs w:val="20"/>
        </w:rPr>
        <w:t>Prior to 2001, Turkey’s natural gas market and infrastructure were almost entirely dominated by state-owned B</w:t>
      </w:r>
      <w:r w:rsidR="00CE0266" w:rsidRPr="007366EE">
        <w:rPr>
          <w:sz w:val="20"/>
          <w:szCs w:val="20"/>
        </w:rPr>
        <w:t>OTAS</w:t>
      </w:r>
      <w:r w:rsidRPr="007366EE">
        <w:rPr>
          <w:sz w:val="20"/>
          <w:szCs w:val="20"/>
        </w:rPr>
        <w:t xml:space="preserve">. In May 2001, Turkey enacted a new Natural Gas Market Law with the intent to liberalize the natural gas sector, encourage foreign investment in energy infrastructure, and harmonize its energy policy with that of the </w:t>
      </w:r>
      <w:r w:rsidR="006C3F03">
        <w:rPr>
          <w:sz w:val="20"/>
          <w:szCs w:val="20"/>
        </w:rPr>
        <w:t>EU. Among other things, the law</w:t>
      </w:r>
      <w:r w:rsidR="00CE0266" w:rsidRPr="007366EE">
        <w:rPr>
          <w:sz w:val="20"/>
          <w:szCs w:val="20"/>
        </w:rPr>
        <w:t xml:space="preserve"> aimed to </w:t>
      </w:r>
      <w:r w:rsidRPr="007366EE">
        <w:rPr>
          <w:sz w:val="20"/>
          <w:szCs w:val="20"/>
        </w:rPr>
        <w:t>abolish</w:t>
      </w:r>
      <w:r w:rsidR="00CE0266" w:rsidRPr="007366EE">
        <w:rPr>
          <w:sz w:val="20"/>
          <w:szCs w:val="20"/>
        </w:rPr>
        <w:t xml:space="preserve"> the</w:t>
      </w:r>
      <w:r w:rsidRPr="007366EE">
        <w:rPr>
          <w:sz w:val="20"/>
          <w:szCs w:val="20"/>
        </w:rPr>
        <w:t xml:space="preserve"> monopoly, separating the company into units for natural gas import, transport, storage, and distribution by 2009.</w:t>
      </w:r>
      <w:r w:rsidR="002F19F9" w:rsidRPr="007366EE">
        <w:rPr>
          <w:sz w:val="20"/>
          <w:szCs w:val="20"/>
        </w:rPr>
        <w:t xml:space="preserve"> Consequently, the law has paved the way for privatization </w:t>
      </w:r>
      <w:r w:rsidR="00F7321C">
        <w:rPr>
          <w:sz w:val="20"/>
          <w:szCs w:val="20"/>
        </w:rPr>
        <w:t xml:space="preserve">of the natural gas market, various </w:t>
      </w:r>
      <w:r w:rsidR="00F7321C">
        <w:rPr>
          <w:sz w:val="20"/>
          <w:szCs w:val="20"/>
        </w:rPr>
        <w:lastRenderedPageBreak/>
        <w:t>components</w:t>
      </w:r>
      <w:r w:rsidR="0043337B">
        <w:rPr>
          <w:sz w:val="20"/>
          <w:szCs w:val="20"/>
        </w:rPr>
        <w:t xml:space="preserve"> of </w:t>
      </w:r>
      <w:r w:rsidR="00F7321C">
        <w:rPr>
          <w:sz w:val="20"/>
          <w:szCs w:val="20"/>
        </w:rPr>
        <w:t>which have already been privatized</w:t>
      </w:r>
      <w:r w:rsidR="002F19F9" w:rsidRPr="007366EE">
        <w:rPr>
          <w:sz w:val="20"/>
          <w:szCs w:val="20"/>
        </w:rPr>
        <w:t>.</w:t>
      </w:r>
      <w:r w:rsidRPr="007366EE">
        <w:rPr>
          <w:sz w:val="20"/>
          <w:szCs w:val="20"/>
        </w:rPr>
        <w:t xml:space="preserve"> Turkey’s Energy Market Regulatory Authority (EMRA) is responsible for implementing the Natural Gas Market Law, and also now sets natural gas prices in Turkey. </w:t>
      </w:r>
    </w:p>
    <w:p w:rsidR="00CE0266" w:rsidRPr="007366EE" w:rsidRDefault="00CE0266" w:rsidP="00CE0266">
      <w:pPr>
        <w:spacing w:after="0"/>
        <w:rPr>
          <w:sz w:val="20"/>
          <w:szCs w:val="20"/>
        </w:rPr>
      </w:pPr>
    </w:p>
    <w:p w:rsidR="00922BFE" w:rsidRPr="007366EE" w:rsidRDefault="00922BFE" w:rsidP="00CE0266">
      <w:pPr>
        <w:spacing w:after="0"/>
        <w:rPr>
          <w:b/>
          <w:sz w:val="20"/>
          <w:szCs w:val="20"/>
        </w:rPr>
      </w:pPr>
      <w:r w:rsidRPr="007366EE">
        <w:rPr>
          <w:rStyle w:val="csssubheading1"/>
          <w:b/>
          <w:sz w:val="20"/>
          <w:szCs w:val="20"/>
        </w:rPr>
        <w:t xml:space="preserve">Exploration </w:t>
      </w:r>
      <w:r w:rsidR="00661D1D">
        <w:rPr>
          <w:rStyle w:val="csssubheading1"/>
          <w:b/>
          <w:sz w:val="20"/>
          <w:szCs w:val="20"/>
        </w:rPr>
        <w:t>Activities</w:t>
      </w:r>
      <w:r w:rsidRPr="007366EE">
        <w:rPr>
          <w:rStyle w:val="csssubheading1"/>
          <w:b/>
          <w:sz w:val="20"/>
          <w:szCs w:val="20"/>
        </w:rPr>
        <w:t xml:space="preserve"> </w:t>
      </w:r>
    </w:p>
    <w:p w:rsidR="00922BFE" w:rsidRPr="007366EE" w:rsidRDefault="00922BFE" w:rsidP="00CE0266">
      <w:pPr>
        <w:spacing w:after="0"/>
        <w:rPr>
          <w:sz w:val="20"/>
          <w:szCs w:val="20"/>
        </w:rPr>
      </w:pPr>
      <w:r w:rsidRPr="007366EE">
        <w:rPr>
          <w:sz w:val="20"/>
          <w:szCs w:val="20"/>
        </w:rPr>
        <w:t xml:space="preserve">Historically, much of Turkey’s natural gas production occurred at sites where crude oil was also produced. Over the last decade, however, several non-associated natural gas fields have been discovered. The largest non-associated natural gas find is Marmara </w:t>
      </w:r>
      <w:proofErr w:type="spellStart"/>
      <w:r w:rsidRPr="007366EE">
        <w:rPr>
          <w:sz w:val="20"/>
          <w:szCs w:val="20"/>
        </w:rPr>
        <w:t>Kuzey</w:t>
      </w:r>
      <w:proofErr w:type="spellEnd"/>
      <w:r w:rsidRPr="007366EE">
        <w:rPr>
          <w:sz w:val="20"/>
          <w:szCs w:val="20"/>
        </w:rPr>
        <w:t>, an offshore field that came on</w:t>
      </w:r>
      <w:r w:rsidR="00812104">
        <w:rPr>
          <w:sz w:val="20"/>
          <w:szCs w:val="20"/>
        </w:rPr>
        <w:t xml:space="preserve"> </w:t>
      </w:r>
      <w:r w:rsidRPr="007366EE">
        <w:rPr>
          <w:sz w:val="20"/>
          <w:szCs w:val="20"/>
        </w:rPr>
        <w:t xml:space="preserve">stream in 1997 located in the Thrace-Gallipoli Basin of the Sea of Marmara. Turkey’s small natural gas production is carried out primarily by </w:t>
      </w:r>
      <w:r w:rsidR="00812104">
        <w:rPr>
          <w:sz w:val="20"/>
          <w:szCs w:val="20"/>
        </w:rPr>
        <w:t>the Turkish Petroleum Corporation</w:t>
      </w:r>
      <w:r w:rsidR="0078569F">
        <w:rPr>
          <w:sz w:val="20"/>
          <w:szCs w:val="20"/>
        </w:rPr>
        <w:t xml:space="preserve"> (</w:t>
      </w:r>
      <w:r w:rsidRPr="007366EE">
        <w:rPr>
          <w:sz w:val="20"/>
          <w:szCs w:val="20"/>
        </w:rPr>
        <w:t>TPAO</w:t>
      </w:r>
      <w:r w:rsidR="00812104">
        <w:rPr>
          <w:sz w:val="20"/>
          <w:szCs w:val="20"/>
        </w:rPr>
        <w:t>)</w:t>
      </w:r>
      <w:r w:rsidR="000B650C">
        <w:rPr>
          <w:sz w:val="20"/>
          <w:szCs w:val="20"/>
        </w:rPr>
        <w:t>,</w:t>
      </w:r>
      <w:r w:rsidR="007A336A">
        <w:rPr>
          <w:sz w:val="20"/>
          <w:szCs w:val="20"/>
        </w:rPr>
        <w:t xml:space="preserve"> </w:t>
      </w:r>
      <w:r w:rsidR="00CA2C35">
        <w:rPr>
          <w:sz w:val="20"/>
          <w:szCs w:val="20"/>
        </w:rPr>
        <w:t>which produced</w:t>
      </w:r>
      <w:r w:rsidR="007A336A">
        <w:rPr>
          <w:sz w:val="20"/>
          <w:szCs w:val="20"/>
        </w:rPr>
        <w:t xml:space="preserve"> approximately</w:t>
      </w:r>
      <w:r w:rsidR="000F550B">
        <w:rPr>
          <w:sz w:val="20"/>
          <w:szCs w:val="20"/>
        </w:rPr>
        <w:t xml:space="preserve"> 421 million m</w:t>
      </w:r>
      <w:r w:rsidR="00020E62">
        <w:rPr>
          <w:sz w:val="20"/>
          <w:szCs w:val="20"/>
          <w:vertAlign w:val="superscript"/>
        </w:rPr>
        <w:t>3</w:t>
      </w:r>
      <w:r w:rsidR="007A336A">
        <w:rPr>
          <w:sz w:val="20"/>
          <w:szCs w:val="20"/>
        </w:rPr>
        <w:t xml:space="preserve"> </w:t>
      </w:r>
      <w:r w:rsidR="00020E62">
        <w:rPr>
          <w:sz w:val="20"/>
          <w:szCs w:val="20"/>
        </w:rPr>
        <w:t xml:space="preserve">in 2007, </w:t>
      </w:r>
      <w:r w:rsidR="00CA2C35">
        <w:rPr>
          <w:sz w:val="20"/>
          <w:szCs w:val="20"/>
        </w:rPr>
        <w:t>while other companies produced 472 million m</w:t>
      </w:r>
      <w:r w:rsidR="00CA2C35">
        <w:rPr>
          <w:sz w:val="20"/>
          <w:szCs w:val="20"/>
          <w:vertAlign w:val="superscript"/>
        </w:rPr>
        <w:t>3</w:t>
      </w:r>
      <w:r w:rsidR="00EC62AE">
        <w:rPr>
          <w:sz w:val="20"/>
          <w:szCs w:val="20"/>
        </w:rPr>
        <w:t xml:space="preserve"> of natural gas in the same year. </w:t>
      </w:r>
      <w:r w:rsidR="00CA2C35">
        <w:rPr>
          <w:sz w:val="20"/>
          <w:szCs w:val="20"/>
        </w:rPr>
        <w:t xml:space="preserve"> </w:t>
      </w:r>
      <w:r w:rsidRPr="007366EE">
        <w:rPr>
          <w:sz w:val="20"/>
          <w:szCs w:val="20"/>
        </w:rPr>
        <w:t xml:space="preserve"> </w:t>
      </w:r>
    </w:p>
    <w:p w:rsidR="008E510C" w:rsidRPr="007366EE" w:rsidRDefault="008E510C" w:rsidP="00CE0266">
      <w:pPr>
        <w:spacing w:after="0"/>
        <w:rPr>
          <w:sz w:val="20"/>
          <w:szCs w:val="20"/>
        </w:rPr>
      </w:pPr>
    </w:p>
    <w:p w:rsidR="00922BFE" w:rsidRPr="007366EE" w:rsidRDefault="00922BFE" w:rsidP="00CE0266">
      <w:pPr>
        <w:spacing w:after="0"/>
        <w:rPr>
          <w:sz w:val="20"/>
          <w:szCs w:val="20"/>
        </w:rPr>
      </w:pPr>
      <w:r w:rsidRPr="007366EE">
        <w:rPr>
          <w:sz w:val="20"/>
          <w:szCs w:val="20"/>
        </w:rPr>
        <w:t xml:space="preserve">TPAO has partnered with several international oil and natural gas firms for ongoing exploration and production activities. TPAO’s priority for the last few years has been for exploration at offshore natural gas basins. In March 2002, Amity Oil announced a natural gas discovery at the Gocerler-3 well in the Thrace-Gallipoli Basin, and has since announced several other discoveries in the region. In September 2004, TPAO said that it had found a viable gas deposit at the Ayazli-1 and Ayazli-2 wells off the western Black Sea coast. Since then, a joint venture of TPAO (51 percent), Toreador (37 percent), and </w:t>
      </w:r>
      <w:proofErr w:type="spellStart"/>
      <w:r w:rsidRPr="007366EE">
        <w:rPr>
          <w:sz w:val="20"/>
          <w:szCs w:val="20"/>
        </w:rPr>
        <w:t>Stratic</w:t>
      </w:r>
      <w:proofErr w:type="spellEnd"/>
      <w:r w:rsidRPr="007366EE">
        <w:rPr>
          <w:sz w:val="20"/>
          <w:szCs w:val="20"/>
        </w:rPr>
        <w:t xml:space="preserve"> (12 percent) has conducted extensive exploratory drilling and seismic testing in the region. Estimates from Toreador have put recoverable natural gas reserves in the Western Black Sea Project at </w:t>
      </w:r>
      <w:r w:rsidR="00CB7EBF">
        <w:rPr>
          <w:sz w:val="20"/>
          <w:szCs w:val="20"/>
        </w:rPr>
        <w:t>40 m</w:t>
      </w:r>
      <w:r w:rsidRPr="007366EE">
        <w:rPr>
          <w:sz w:val="20"/>
          <w:szCs w:val="20"/>
        </w:rPr>
        <w:t xml:space="preserve">illion </w:t>
      </w:r>
      <w:r w:rsidR="004C5110">
        <w:rPr>
          <w:sz w:val="20"/>
          <w:szCs w:val="20"/>
        </w:rPr>
        <w:t>m</w:t>
      </w:r>
      <w:r w:rsidR="004C5110">
        <w:rPr>
          <w:sz w:val="20"/>
          <w:szCs w:val="20"/>
          <w:vertAlign w:val="superscript"/>
        </w:rPr>
        <w:t>3</w:t>
      </w:r>
      <w:r w:rsidRPr="007366EE">
        <w:rPr>
          <w:sz w:val="20"/>
          <w:szCs w:val="20"/>
        </w:rPr>
        <w:t xml:space="preserve">. The project </w:t>
      </w:r>
      <w:r w:rsidR="00CB7EBF">
        <w:rPr>
          <w:sz w:val="20"/>
          <w:szCs w:val="20"/>
        </w:rPr>
        <w:t>bega</w:t>
      </w:r>
      <w:r w:rsidRPr="007366EE">
        <w:rPr>
          <w:sz w:val="20"/>
          <w:szCs w:val="20"/>
        </w:rPr>
        <w:t>n co</w:t>
      </w:r>
      <w:r w:rsidR="00CB7EBF">
        <w:rPr>
          <w:sz w:val="20"/>
          <w:szCs w:val="20"/>
        </w:rPr>
        <w:t xml:space="preserve">mmercial natural gas production </w:t>
      </w:r>
      <w:r w:rsidRPr="007366EE">
        <w:rPr>
          <w:sz w:val="20"/>
          <w:szCs w:val="20"/>
        </w:rPr>
        <w:t xml:space="preserve">by the end of 2006, with initial flows </w:t>
      </w:r>
      <w:r w:rsidR="00CB7EBF">
        <w:rPr>
          <w:sz w:val="20"/>
          <w:szCs w:val="20"/>
        </w:rPr>
        <w:t xml:space="preserve">around 2 million </w:t>
      </w:r>
      <w:r w:rsidR="004C5110">
        <w:rPr>
          <w:sz w:val="20"/>
          <w:szCs w:val="20"/>
        </w:rPr>
        <w:t>m</w:t>
      </w:r>
      <w:r w:rsidR="004C5110">
        <w:rPr>
          <w:sz w:val="20"/>
          <w:szCs w:val="20"/>
          <w:vertAlign w:val="superscript"/>
        </w:rPr>
        <w:t>3</w:t>
      </w:r>
      <w:r w:rsidRPr="007366EE">
        <w:rPr>
          <w:sz w:val="20"/>
          <w:szCs w:val="20"/>
        </w:rPr>
        <w:t xml:space="preserve"> per da</w:t>
      </w:r>
      <w:r w:rsidR="004C5110">
        <w:rPr>
          <w:sz w:val="20"/>
          <w:szCs w:val="20"/>
        </w:rPr>
        <w:t xml:space="preserve">y. The success of this project </w:t>
      </w:r>
      <w:r w:rsidRPr="007366EE">
        <w:rPr>
          <w:sz w:val="20"/>
          <w:szCs w:val="20"/>
        </w:rPr>
        <w:t>has encouraged other offshore exploration projects in the Black Sea. The TPAO-Toreador-</w:t>
      </w:r>
      <w:proofErr w:type="spellStart"/>
      <w:r w:rsidRPr="007366EE">
        <w:rPr>
          <w:sz w:val="20"/>
          <w:szCs w:val="20"/>
        </w:rPr>
        <w:t>Stratic</w:t>
      </w:r>
      <w:proofErr w:type="spellEnd"/>
      <w:r w:rsidRPr="007366EE">
        <w:rPr>
          <w:sz w:val="20"/>
          <w:szCs w:val="20"/>
        </w:rPr>
        <w:t xml:space="preserve"> consortium has announced several new natu</w:t>
      </w:r>
      <w:r w:rsidR="00313276">
        <w:rPr>
          <w:sz w:val="20"/>
          <w:szCs w:val="20"/>
        </w:rPr>
        <w:t>ral gas field</w:t>
      </w:r>
      <w:r w:rsidRPr="007366EE">
        <w:rPr>
          <w:sz w:val="20"/>
          <w:szCs w:val="20"/>
        </w:rPr>
        <w:t xml:space="preserve">s in the South </w:t>
      </w:r>
      <w:proofErr w:type="spellStart"/>
      <w:r w:rsidRPr="007366EE">
        <w:rPr>
          <w:sz w:val="20"/>
          <w:szCs w:val="20"/>
        </w:rPr>
        <w:t>Akcakoca</w:t>
      </w:r>
      <w:proofErr w:type="spellEnd"/>
      <w:r w:rsidRPr="007366EE">
        <w:rPr>
          <w:sz w:val="20"/>
          <w:szCs w:val="20"/>
        </w:rPr>
        <w:t xml:space="preserve"> Sub-basin (SASB) during 2006, including at the Bayhanli-1 and Akkaya-3 wells. In the Eastern Black Sea, TPAO has partnered with BP and Chevron where ongoing testing occurs at several wells. </w:t>
      </w:r>
      <w:r w:rsidR="004C5110">
        <w:rPr>
          <w:sz w:val="20"/>
          <w:szCs w:val="20"/>
        </w:rPr>
        <w:t xml:space="preserve">Recently, </w:t>
      </w:r>
      <w:proofErr w:type="spellStart"/>
      <w:r w:rsidR="004C5110" w:rsidRPr="004C5110">
        <w:rPr>
          <w:rFonts w:asciiTheme="minorHAnsi" w:hAnsiTheme="minorHAnsi"/>
          <w:sz w:val="20"/>
          <w:szCs w:val="20"/>
        </w:rPr>
        <w:t>Alpullu</w:t>
      </w:r>
      <w:proofErr w:type="spellEnd"/>
      <w:r w:rsidR="004C5110" w:rsidRPr="004C5110">
        <w:rPr>
          <w:rFonts w:asciiTheme="minorHAnsi" w:hAnsiTheme="minorHAnsi"/>
          <w:sz w:val="20"/>
          <w:szCs w:val="20"/>
        </w:rPr>
        <w:t xml:space="preserve"> natural gas field in District I Marmara was discovered by Amity Oil International Pty. Ltd.</w:t>
      </w:r>
      <w:r w:rsidR="004C5110">
        <w:rPr>
          <w:rFonts w:asciiTheme="minorHAnsi" w:hAnsiTheme="minorHAnsi"/>
          <w:sz w:val="20"/>
          <w:szCs w:val="20"/>
        </w:rPr>
        <w:t xml:space="preserve"> </w:t>
      </w:r>
      <w:r w:rsidR="004C5110" w:rsidRPr="004C5110">
        <w:rPr>
          <w:rFonts w:asciiTheme="minorHAnsi" w:hAnsiTheme="minorHAnsi"/>
          <w:sz w:val="20"/>
          <w:szCs w:val="20"/>
        </w:rPr>
        <w:t>in 2007.</w:t>
      </w:r>
    </w:p>
    <w:p w:rsidR="008E510C" w:rsidRPr="007366EE" w:rsidRDefault="008E510C" w:rsidP="00CE0266">
      <w:pPr>
        <w:spacing w:after="0"/>
        <w:rPr>
          <w:rStyle w:val="csssubheading1"/>
          <w:b/>
          <w:sz w:val="20"/>
          <w:szCs w:val="20"/>
        </w:rPr>
      </w:pPr>
    </w:p>
    <w:p w:rsidR="00CB7EBF" w:rsidRDefault="00922BFE" w:rsidP="00CE0266">
      <w:pPr>
        <w:spacing w:after="0"/>
        <w:rPr>
          <w:rStyle w:val="csssubheading1"/>
          <w:b/>
          <w:sz w:val="20"/>
          <w:szCs w:val="20"/>
        </w:rPr>
      </w:pPr>
      <w:r w:rsidRPr="007366EE">
        <w:rPr>
          <w:rStyle w:val="csssubheading1"/>
          <w:b/>
          <w:sz w:val="20"/>
          <w:szCs w:val="20"/>
        </w:rPr>
        <w:t>Pipelines</w:t>
      </w:r>
    </w:p>
    <w:p w:rsidR="004C5110" w:rsidRDefault="004C5110" w:rsidP="00CE0266">
      <w:pPr>
        <w:spacing w:after="0"/>
        <w:rPr>
          <w:sz w:val="20"/>
          <w:szCs w:val="20"/>
        </w:rPr>
      </w:pPr>
      <w:r>
        <w:rPr>
          <w:sz w:val="20"/>
          <w:szCs w:val="20"/>
        </w:rPr>
        <w:t xml:space="preserve">Turkey has an extensive network of pipelines connecting markets both domestically and internationally. </w:t>
      </w:r>
    </w:p>
    <w:p w:rsidR="00922BFE" w:rsidRPr="007366EE" w:rsidRDefault="00922BFE" w:rsidP="00CE0266">
      <w:pPr>
        <w:spacing w:after="0"/>
        <w:rPr>
          <w:b/>
          <w:sz w:val="20"/>
          <w:szCs w:val="20"/>
        </w:rPr>
      </w:pPr>
      <w:r w:rsidRPr="007366EE">
        <w:rPr>
          <w:b/>
          <w:sz w:val="20"/>
          <w:szCs w:val="20"/>
        </w:rPr>
        <w:br/>
      </w:r>
      <w:r w:rsidRPr="007366EE">
        <w:rPr>
          <w:rStyle w:val="csssubheading2"/>
          <w:b/>
          <w:sz w:val="20"/>
          <w:szCs w:val="20"/>
        </w:rPr>
        <w:t xml:space="preserve">Domestic </w:t>
      </w:r>
      <w:r w:rsidR="00B93994">
        <w:rPr>
          <w:rStyle w:val="csssubheading2"/>
          <w:b/>
          <w:sz w:val="20"/>
          <w:szCs w:val="20"/>
        </w:rPr>
        <w:t>Network of Pipelines</w:t>
      </w:r>
    </w:p>
    <w:p w:rsidR="00922BFE" w:rsidRDefault="00922BFE" w:rsidP="00CE0266">
      <w:pPr>
        <w:spacing w:after="0"/>
        <w:rPr>
          <w:sz w:val="20"/>
          <w:szCs w:val="20"/>
        </w:rPr>
      </w:pPr>
      <w:r w:rsidRPr="007366EE">
        <w:rPr>
          <w:sz w:val="20"/>
          <w:szCs w:val="20"/>
        </w:rPr>
        <w:t>Turkey’s growing natural gas demand has led B</w:t>
      </w:r>
      <w:r w:rsidR="00CB7EBF">
        <w:rPr>
          <w:sz w:val="20"/>
          <w:szCs w:val="20"/>
        </w:rPr>
        <w:t>OTAS</w:t>
      </w:r>
      <w:r w:rsidRPr="007366EE">
        <w:rPr>
          <w:sz w:val="20"/>
          <w:szCs w:val="20"/>
        </w:rPr>
        <w:t xml:space="preserve"> to substantially increase the country’s natural gas transport infrastructure. Turkey’s domestic pipeline network has also grown alongside the country’s growing international pipeline connections.</w:t>
      </w:r>
    </w:p>
    <w:p w:rsidR="00313276" w:rsidRPr="007366EE" w:rsidRDefault="00B93994" w:rsidP="0063701D">
      <w:pPr>
        <w:spacing w:after="0"/>
        <w:jc w:val="center"/>
        <w:rPr>
          <w:rFonts w:cs="Arial"/>
          <w:b/>
          <w:sz w:val="20"/>
          <w:szCs w:val="20"/>
        </w:rPr>
      </w:pPr>
      <w:r>
        <w:rPr>
          <w:rFonts w:cs="Arial"/>
          <w:b/>
          <w:noProof/>
          <w:sz w:val="20"/>
          <w:szCs w:val="20"/>
        </w:rPr>
        <w:drawing>
          <wp:inline distT="0" distB="0" distL="0" distR="0">
            <wp:extent cx="4200525" cy="290154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210213" cy="2908232"/>
                    </a:xfrm>
                    <a:prstGeom prst="rect">
                      <a:avLst/>
                    </a:prstGeom>
                    <a:noFill/>
                    <a:ln w="9525">
                      <a:noFill/>
                      <a:miter lim="800000"/>
                      <a:headEnd/>
                      <a:tailEnd/>
                    </a:ln>
                  </pic:spPr>
                </pic:pic>
              </a:graphicData>
            </a:graphic>
          </wp:inline>
        </w:drawing>
      </w:r>
    </w:p>
    <w:p w:rsidR="00313276" w:rsidRPr="00313276" w:rsidRDefault="0063701D" w:rsidP="0063701D">
      <w:pPr>
        <w:spacing w:after="0"/>
        <w:ind w:left="720"/>
        <w:rPr>
          <w:rFonts w:cs="Arial"/>
          <w:sz w:val="16"/>
          <w:szCs w:val="16"/>
        </w:rPr>
      </w:pPr>
      <w:r>
        <w:rPr>
          <w:rFonts w:cs="Arial"/>
          <w:b/>
          <w:i/>
          <w:sz w:val="16"/>
          <w:szCs w:val="16"/>
        </w:rPr>
        <w:t xml:space="preserve">        </w:t>
      </w:r>
      <w:r w:rsidR="00022137">
        <w:rPr>
          <w:rFonts w:cs="Arial"/>
          <w:b/>
          <w:i/>
          <w:sz w:val="16"/>
          <w:szCs w:val="16"/>
        </w:rPr>
        <w:t xml:space="preserve">             </w:t>
      </w:r>
      <w:r>
        <w:rPr>
          <w:rFonts w:cs="Arial"/>
          <w:b/>
          <w:i/>
          <w:sz w:val="16"/>
          <w:szCs w:val="16"/>
        </w:rPr>
        <w:t xml:space="preserve"> </w:t>
      </w:r>
      <w:r w:rsidR="00313276" w:rsidRPr="00313276">
        <w:rPr>
          <w:rFonts w:cs="Arial"/>
          <w:b/>
          <w:i/>
          <w:sz w:val="16"/>
          <w:szCs w:val="16"/>
        </w:rPr>
        <w:t>Source:</w:t>
      </w:r>
      <w:r w:rsidR="00313276" w:rsidRPr="00313276">
        <w:rPr>
          <w:rFonts w:cs="Arial"/>
          <w:b/>
          <w:sz w:val="16"/>
          <w:szCs w:val="16"/>
        </w:rPr>
        <w:t xml:space="preserve"> </w:t>
      </w:r>
      <w:r w:rsidR="00313276" w:rsidRPr="00313276">
        <w:rPr>
          <w:rFonts w:cs="Arial"/>
          <w:sz w:val="16"/>
          <w:szCs w:val="16"/>
        </w:rPr>
        <w:t>BOTAS</w:t>
      </w:r>
      <w:r w:rsidR="00EA31E0">
        <w:rPr>
          <w:rFonts w:cs="Arial"/>
          <w:sz w:val="16"/>
          <w:szCs w:val="16"/>
        </w:rPr>
        <w:t xml:space="preserve"> (BCM: billion cubic </w:t>
      </w:r>
      <w:r w:rsidR="00283F1E">
        <w:rPr>
          <w:rFonts w:cs="Arial"/>
          <w:sz w:val="16"/>
          <w:szCs w:val="16"/>
        </w:rPr>
        <w:t>meters</w:t>
      </w:r>
      <w:r w:rsidR="00EA31E0">
        <w:rPr>
          <w:rFonts w:cs="Arial"/>
          <w:sz w:val="16"/>
          <w:szCs w:val="16"/>
        </w:rPr>
        <w:t xml:space="preserve">) </w:t>
      </w:r>
    </w:p>
    <w:p w:rsidR="00922BFE" w:rsidRPr="007366EE" w:rsidRDefault="00313276" w:rsidP="00CE0266">
      <w:pPr>
        <w:spacing w:after="0"/>
        <w:rPr>
          <w:b/>
          <w:sz w:val="20"/>
          <w:szCs w:val="20"/>
        </w:rPr>
      </w:pPr>
      <w:r>
        <w:rPr>
          <w:rStyle w:val="csssubheading2"/>
          <w:b/>
          <w:sz w:val="20"/>
          <w:szCs w:val="20"/>
        </w:rPr>
        <w:lastRenderedPageBreak/>
        <w:t xml:space="preserve">International </w:t>
      </w:r>
      <w:r w:rsidR="007608AE">
        <w:rPr>
          <w:rStyle w:val="csssubheading2"/>
          <w:b/>
          <w:sz w:val="20"/>
          <w:szCs w:val="20"/>
        </w:rPr>
        <w:t>Network of Pipelines</w:t>
      </w:r>
    </w:p>
    <w:p w:rsidR="00CB7EBF" w:rsidRDefault="00922BFE" w:rsidP="00CE0266">
      <w:pPr>
        <w:spacing w:after="0"/>
        <w:rPr>
          <w:sz w:val="20"/>
          <w:szCs w:val="20"/>
        </w:rPr>
      </w:pPr>
      <w:r w:rsidRPr="007366EE">
        <w:rPr>
          <w:sz w:val="20"/>
          <w:szCs w:val="20"/>
        </w:rPr>
        <w:t>Turkey has several</w:t>
      </w:r>
      <w:r w:rsidR="000136AB">
        <w:rPr>
          <w:sz w:val="20"/>
          <w:szCs w:val="20"/>
        </w:rPr>
        <w:t xml:space="preserve"> important</w:t>
      </w:r>
      <w:r w:rsidRPr="007366EE">
        <w:rPr>
          <w:sz w:val="20"/>
          <w:szCs w:val="20"/>
        </w:rPr>
        <w:t xml:space="preserve"> international pipeline links that bring natural gas to Turkey for domestic consumption, but that might also build upon Turkey’s emerging role as an energy transit country. </w:t>
      </w:r>
    </w:p>
    <w:p w:rsidR="00907413" w:rsidRDefault="00907413" w:rsidP="00CE0266">
      <w:pPr>
        <w:spacing w:after="0"/>
        <w:rPr>
          <w:sz w:val="20"/>
          <w:szCs w:val="20"/>
        </w:rPr>
      </w:pPr>
    </w:p>
    <w:p w:rsidR="00907413" w:rsidRDefault="00705462" w:rsidP="00CE0266">
      <w:pPr>
        <w:spacing w:after="0"/>
        <w:rPr>
          <w:sz w:val="20"/>
          <w:szCs w:val="20"/>
        </w:rPr>
      </w:pPr>
      <w:r>
        <w:rPr>
          <w:noProof/>
          <w:sz w:val="20"/>
          <w:szCs w:val="20"/>
        </w:rPr>
        <w:drawing>
          <wp:inline distT="0" distB="0" distL="0" distR="0">
            <wp:extent cx="5867400" cy="460057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876925" cy="4608043"/>
                    </a:xfrm>
                    <a:prstGeom prst="rect">
                      <a:avLst/>
                    </a:prstGeom>
                    <a:noFill/>
                    <a:ln w="9525">
                      <a:noFill/>
                      <a:miter lim="800000"/>
                      <a:headEnd/>
                      <a:tailEnd/>
                    </a:ln>
                  </pic:spPr>
                </pic:pic>
              </a:graphicData>
            </a:graphic>
          </wp:inline>
        </w:drawing>
      </w:r>
    </w:p>
    <w:p w:rsidR="00392378" w:rsidRDefault="00392378" w:rsidP="00CE0266">
      <w:pPr>
        <w:spacing w:after="0"/>
        <w:rPr>
          <w:sz w:val="20"/>
          <w:szCs w:val="20"/>
        </w:rPr>
      </w:pPr>
    </w:p>
    <w:tbl>
      <w:tblPr>
        <w:tblStyle w:val="LightGrid-Accent11"/>
        <w:tblW w:w="9247" w:type="dxa"/>
        <w:tblInd w:w="108" w:type="dxa"/>
        <w:tblLook w:val="04A0"/>
      </w:tblPr>
      <w:tblGrid>
        <w:gridCol w:w="2047"/>
        <w:gridCol w:w="2261"/>
        <w:gridCol w:w="846"/>
        <w:gridCol w:w="802"/>
        <w:gridCol w:w="1319"/>
        <w:gridCol w:w="1972"/>
      </w:tblGrid>
      <w:tr w:rsidR="0063701D" w:rsidRPr="00D55C6B" w:rsidTr="00392378">
        <w:trPr>
          <w:cnfStyle w:val="100000000000"/>
          <w:trHeight w:val="296"/>
        </w:trPr>
        <w:tc>
          <w:tcPr>
            <w:cnfStyle w:val="001000000000"/>
            <w:tcW w:w="2047" w:type="dxa"/>
            <w:hideMark/>
          </w:tcPr>
          <w:p w:rsidR="0063701D" w:rsidRPr="00D55C6B" w:rsidRDefault="0063701D" w:rsidP="0063701D">
            <w:pPr>
              <w:spacing w:after="0" w:line="240" w:lineRule="auto"/>
              <w:jc w:val="center"/>
              <w:rPr>
                <w:rFonts w:asciiTheme="minorHAnsi" w:hAnsiTheme="minorHAnsi" w:cs="Arial TUR"/>
                <w:bCs w:val="0"/>
                <w:sz w:val="16"/>
                <w:szCs w:val="16"/>
                <w:lang w:eastAsia="tr-TR"/>
              </w:rPr>
            </w:pPr>
            <w:r>
              <w:rPr>
                <w:rFonts w:asciiTheme="minorHAnsi" w:hAnsiTheme="minorHAnsi" w:cs="Arial TUR"/>
                <w:bCs w:val="0"/>
                <w:sz w:val="16"/>
                <w:szCs w:val="16"/>
                <w:lang w:eastAsia="tr-TR"/>
              </w:rPr>
              <w:t xml:space="preserve">Major </w:t>
            </w:r>
            <w:r w:rsidRPr="00D55C6B">
              <w:rPr>
                <w:rFonts w:asciiTheme="minorHAnsi" w:hAnsiTheme="minorHAnsi" w:cs="Arial TUR"/>
                <w:bCs w:val="0"/>
                <w:sz w:val="16"/>
                <w:szCs w:val="16"/>
                <w:lang w:eastAsia="tr-TR"/>
              </w:rPr>
              <w:t xml:space="preserve">Int’l </w:t>
            </w:r>
            <w:r w:rsidRPr="00D55C6B">
              <w:rPr>
                <w:rFonts w:asciiTheme="minorHAnsi" w:hAnsiTheme="minorHAnsi" w:cs="Arial TUR"/>
                <w:sz w:val="16"/>
                <w:szCs w:val="16"/>
                <w:lang w:eastAsia="tr-TR"/>
              </w:rPr>
              <w:t>Pipelines</w:t>
            </w:r>
          </w:p>
        </w:tc>
        <w:tc>
          <w:tcPr>
            <w:tcW w:w="2261" w:type="dxa"/>
            <w:hideMark/>
          </w:tcPr>
          <w:p w:rsidR="0063701D" w:rsidRPr="00D55C6B" w:rsidRDefault="0063701D" w:rsidP="0063701D">
            <w:pPr>
              <w:spacing w:after="0" w:line="240" w:lineRule="auto"/>
              <w:jc w:val="center"/>
              <w:cnfStyle w:val="100000000000"/>
              <w:rPr>
                <w:rFonts w:asciiTheme="minorHAnsi" w:hAnsiTheme="minorHAnsi" w:cs="Arial TUR"/>
                <w:bCs w:val="0"/>
                <w:sz w:val="16"/>
                <w:szCs w:val="16"/>
                <w:lang w:eastAsia="tr-TR"/>
              </w:rPr>
            </w:pPr>
            <w:r w:rsidRPr="00D55C6B">
              <w:rPr>
                <w:rFonts w:asciiTheme="minorHAnsi" w:hAnsiTheme="minorHAnsi" w:cs="Arial TUR"/>
                <w:bCs w:val="0"/>
                <w:sz w:val="16"/>
                <w:szCs w:val="16"/>
                <w:lang w:eastAsia="tr-TR"/>
              </w:rPr>
              <w:t>Route</w:t>
            </w:r>
          </w:p>
        </w:tc>
        <w:tc>
          <w:tcPr>
            <w:tcW w:w="846" w:type="dxa"/>
            <w:noWrap/>
            <w:hideMark/>
          </w:tcPr>
          <w:p w:rsidR="0063701D" w:rsidRPr="00D55C6B" w:rsidRDefault="0063701D" w:rsidP="0063701D">
            <w:pPr>
              <w:spacing w:after="0" w:line="240" w:lineRule="auto"/>
              <w:jc w:val="center"/>
              <w:cnfStyle w:val="100000000000"/>
              <w:rPr>
                <w:rFonts w:asciiTheme="minorHAnsi" w:hAnsiTheme="minorHAnsi" w:cs="Arial TUR"/>
                <w:bCs w:val="0"/>
                <w:sz w:val="16"/>
                <w:szCs w:val="16"/>
                <w:lang w:eastAsia="tr-TR"/>
              </w:rPr>
            </w:pPr>
            <w:r w:rsidRPr="00D55C6B">
              <w:rPr>
                <w:rFonts w:asciiTheme="minorHAnsi" w:hAnsiTheme="minorHAnsi" w:cs="Arial TUR"/>
                <w:bCs w:val="0"/>
                <w:sz w:val="16"/>
                <w:szCs w:val="16"/>
                <w:lang w:eastAsia="tr-TR"/>
              </w:rPr>
              <w:t>Length</w:t>
            </w:r>
            <w:r w:rsidRPr="00D55C6B">
              <w:rPr>
                <w:rFonts w:asciiTheme="minorHAnsi" w:hAnsiTheme="minorHAnsi" w:cs="Arial TUR"/>
                <w:sz w:val="16"/>
                <w:szCs w:val="16"/>
                <w:lang w:eastAsia="tr-TR"/>
              </w:rPr>
              <w:t xml:space="preserve"> (km)</w:t>
            </w:r>
          </w:p>
        </w:tc>
        <w:tc>
          <w:tcPr>
            <w:tcW w:w="802" w:type="dxa"/>
            <w:noWrap/>
            <w:hideMark/>
          </w:tcPr>
          <w:p w:rsidR="0063701D" w:rsidRPr="00D55C6B" w:rsidRDefault="0063701D" w:rsidP="0063701D">
            <w:pPr>
              <w:spacing w:after="0" w:line="240" w:lineRule="auto"/>
              <w:jc w:val="center"/>
              <w:cnfStyle w:val="100000000000"/>
              <w:rPr>
                <w:rFonts w:asciiTheme="minorHAnsi" w:hAnsiTheme="minorHAnsi" w:cs="Arial TUR"/>
                <w:bCs w:val="0"/>
                <w:sz w:val="16"/>
                <w:szCs w:val="16"/>
                <w:lang w:eastAsia="tr-TR"/>
              </w:rPr>
            </w:pPr>
            <w:r w:rsidRPr="00D55C6B">
              <w:rPr>
                <w:rFonts w:asciiTheme="minorHAnsi" w:hAnsiTheme="minorHAnsi" w:cs="Arial TUR"/>
                <w:bCs w:val="0"/>
                <w:sz w:val="16"/>
                <w:szCs w:val="16"/>
                <w:lang w:eastAsia="tr-TR"/>
              </w:rPr>
              <w:t>Capacity (</w:t>
            </w:r>
            <w:r w:rsidRPr="00D55C6B">
              <w:rPr>
                <w:rFonts w:asciiTheme="minorHAnsi" w:hAnsiTheme="minorHAnsi" w:cs="Arial TUR"/>
                <w:sz w:val="16"/>
                <w:szCs w:val="16"/>
                <w:lang w:eastAsia="tr-TR"/>
              </w:rPr>
              <w:t>m³/y)</w:t>
            </w:r>
          </w:p>
        </w:tc>
        <w:tc>
          <w:tcPr>
            <w:tcW w:w="1319" w:type="dxa"/>
            <w:hideMark/>
          </w:tcPr>
          <w:p w:rsidR="0063701D" w:rsidRPr="00D55C6B" w:rsidRDefault="0063701D" w:rsidP="0063701D">
            <w:pPr>
              <w:spacing w:after="0" w:line="240" w:lineRule="auto"/>
              <w:jc w:val="center"/>
              <w:cnfStyle w:val="100000000000"/>
              <w:rPr>
                <w:rFonts w:asciiTheme="minorHAnsi" w:hAnsiTheme="minorHAnsi" w:cs="Arial TUR"/>
                <w:bCs w:val="0"/>
                <w:sz w:val="16"/>
                <w:szCs w:val="16"/>
                <w:lang w:eastAsia="tr-TR"/>
              </w:rPr>
            </w:pPr>
            <w:r w:rsidRPr="00D55C6B">
              <w:rPr>
                <w:rFonts w:asciiTheme="minorHAnsi" w:hAnsiTheme="minorHAnsi" w:cs="Arial TUR"/>
                <w:bCs w:val="0"/>
                <w:sz w:val="16"/>
                <w:szCs w:val="16"/>
                <w:lang w:eastAsia="tr-TR"/>
              </w:rPr>
              <w:t>Source</w:t>
            </w:r>
          </w:p>
        </w:tc>
        <w:tc>
          <w:tcPr>
            <w:tcW w:w="1972" w:type="dxa"/>
            <w:hideMark/>
          </w:tcPr>
          <w:p w:rsidR="0063701D" w:rsidRPr="00D55C6B" w:rsidRDefault="0063701D" w:rsidP="0063701D">
            <w:pPr>
              <w:spacing w:after="0" w:line="240" w:lineRule="auto"/>
              <w:jc w:val="center"/>
              <w:cnfStyle w:val="100000000000"/>
              <w:rPr>
                <w:rFonts w:asciiTheme="minorHAnsi" w:hAnsiTheme="minorHAnsi" w:cs="Arial TUR"/>
                <w:bCs w:val="0"/>
                <w:sz w:val="16"/>
                <w:szCs w:val="16"/>
                <w:lang w:eastAsia="tr-TR"/>
              </w:rPr>
            </w:pPr>
            <w:r w:rsidRPr="00D55C6B">
              <w:rPr>
                <w:rFonts w:asciiTheme="minorHAnsi" w:hAnsiTheme="minorHAnsi" w:cs="Arial TUR"/>
                <w:bCs w:val="0"/>
                <w:sz w:val="16"/>
                <w:szCs w:val="16"/>
                <w:lang w:eastAsia="tr-TR"/>
              </w:rPr>
              <w:t>Status</w:t>
            </w:r>
          </w:p>
        </w:tc>
      </w:tr>
      <w:tr w:rsidR="0063701D" w:rsidRPr="00D55C6B" w:rsidTr="00392378">
        <w:trPr>
          <w:cnfStyle w:val="000000100000"/>
          <w:trHeight w:val="30"/>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r>
              <w:rPr>
                <w:rFonts w:asciiTheme="minorHAnsi" w:hAnsiTheme="minorHAnsi" w:cs="Arial TUR"/>
                <w:b w:val="0"/>
                <w:bCs w:val="0"/>
                <w:sz w:val="16"/>
                <w:szCs w:val="16"/>
                <w:lang w:eastAsia="tr-TR"/>
              </w:rPr>
              <w:t>B</w:t>
            </w:r>
            <w:r w:rsidRPr="00D55C6B">
              <w:rPr>
                <w:rFonts w:asciiTheme="minorHAnsi" w:hAnsiTheme="minorHAnsi"/>
                <w:b w:val="0"/>
                <w:sz w:val="16"/>
                <w:szCs w:val="16"/>
              </w:rPr>
              <w:t>lue Stream</w:t>
            </w:r>
          </w:p>
        </w:tc>
        <w:tc>
          <w:tcPr>
            <w:tcW w:w="2261"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Russia-Turkey</w:t>
            </w:r>
          </w:p>
        </w:tc>
        <w:tc>
          <w:tcPr>
            <w:tcW w:w="846"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1213</w:t>
            </w:r>
          </w:p>
        </w:tc>
        <w:tc>
          <w:tcPr>
            <w:tcW w:w="802"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vertAlign w:val="superscript"/>
                <w:lang w:eastAsia="tr-TR"/>
              </w:rPr>
            </w:pPr>
            <w:r w:rsidRPr="00D55C6B">
              <w:rPr>
                <w:rFonts w:asciiTheme="minorHAnsi" w:eastAsia="Times New Roman" w:hAnsiTheme="minorHAnsi" w:cs="Arial TUR"/>
                <w:sz w:val="16"/>
                <w:szCs w:val="16"/>
                <w:lang w:eastAsia="tr-TR"/>
              </w:rPr>
              <w:t>16</w:t>
            </w:r>
          </w:p>
        </w:tc>
        <w:tc>
          <w:tcPr>
            <w:tcW w:w="1319" w:type="dxa"/>
            <w:hideMark/>
          </w:tcPr>
          <w:p w:rsidR="0063701D" w:rsidRPr="00D55C6B" w:rsidRDefault="0063701D" w:rsidP="0063701D">
            <w:pPr>
              <w:spacing w:after="0" w:line="240" w:lineRule="auto"/>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Russia</w:t>
            </w:r>
          </w:p>
        </w:tc>
        <w:tc>
          <w:tcPr>
            <w:tcW w:w="1972"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In operation</w:t>
            </w:r>
          </w:p>
        </w:tc>
      </w:tr>
      <w:tr w:rsidR="0063701D" w:rsidRPr="00D55C6B" w:rsidTr="00392378">
        <w:trPr>
          <w:cnfStyle w:val="000000010000"/>
          <w:trHeight w:val="55"/>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r w:rsidRPr="00D55C6B">
              <w:rPr>
                <w:rFonts w:asciiTheme="minorHAnsi" w:hAnsiTheme="minorHAnsi"/>
                <w:b w:val="0"/>
                <w:sz w:val="16"/>
                <w:szCs w:val="16"/>
              </w:rPr>
              <w:t>Iran-Turkey</w:t>
            </w:r>
          </w:p>
        </w:tc>
        <w:tc>
          <w:tcPr>
            <w:tcW w:w="2261"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Iran</w:t>
            </w:r>
          </w:p>
        </w:tc>
        <w:tc>
          <w:tcPr>
            <w:tcW w:w="846" w:type="dxa"/>
            <w:noWrap/>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1210</w:t>
            </w:r>
          </w:p>
        </w:tc>
        <w:tc>
          <w:tcPr>
            <w:tcW w:w="802" w:type="dxa"/>
            <w:noWrap/>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vertAlign w:val="superscript"/>
                <w:lang w:eastAsia="tr-TR"/>
              </w:rPr>
            </w:pPr>
            <w:r w:rsidRPr="00D55C6B">
              <w:rPr>
                <w:rFonts w:asciiTheme="minorHAnsi" w:eastAsia="Times New Roman" w:hAnsiTheme="minorHAnsi" w:cs="Arial TUR"/>
                <w:sz w:val="16"/>
                <w:szCs w:val="16"/>
                <w:lang w:eastAsia="tr-TR"/>
              </w:rPr>
              <w:t>14</w:t>
            </w:r>
          </w:p>
        </w:tc>
        <w:tc>
          <w:tcPr>
            <w:tcW w:w="1319" w:type="dxa"/>
            <w:hideMark/>
          </w:tcPr>
          <w:p w:rsidR="0063701D" w:rsidRPr="00D55C6B" w:rsidRDefault="0063701D" w:rsidP="0063701D">
            <w:pPr>
              <w:spacing w:after="0" w:line="240" w:lineRule="auto"/>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Iran</w:t>
            </w:r>
          </w:p>
        </w:tc>
        <w:tc>
          <w:tcPr>
            <w:tcW w:w="1972"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In operation</w:t>
            </w:r>
          </w:p>
        </w:tc>
      </w:tr>
      <w:tr w:rsidR="0063701D" w:rsidRPr="00D55C6B" w:rsidTr="00392378">
        <w:trPr>
          <w:cnfStyle w:val="000000100000"/>
          <w:trHeight w:val="142"/>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r w:rsidRPr="00D55C6B">
              <w:rPr>
                <w:rFonts w:asciiTheme="minorHAnsi" w:hAnsiTheme="minorHAnsi" w:cs="Arial TUR"/>
                <w:b w:val="0"/>
                <w:bCs w:val="0"/>
                <w:sz w:val="16"/>
                <w:szCs w:val="16"/>
                <w:lang w:eastAsia="tr-TR"/>
              </w:rPr>
              <w:t>Turkey - Greece - Italy</w:t>
            </w:r>
          </w:p>
        </w:tc>
        <w:tc>
          <w:tcPr>
            <w:tcW w:w="2261"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proofErr w:type="spellStart"/>
            <w:r w:rsidRPr="00D55C6B">
              <w:rPr>
                <w:rFonts w:asciiTheme="minorHAnsi" w:eastAsia="Times New Roman" w:hAnsiTheme="minorHAnsi" w:cs="Arial TUR"/>
                <w:sz w:val="16"/>
                <w:szCs w:val="16"/>
                <w:lang w:eastAsia="tr-TR"/>
              </w:rPr>
              <w:t>Karacabey</w:t>
            </w:r>
            <w:proofErr w:type="spellEnd"/>
            <w:r w:rsidRPr="00D55C6B">
              <w:rPr>
                <w:rFonts w:asciiTheme="minorHAnsi" w:eastAsia="Times New Roman" w:hAnsiTheme="minorHAnsi" w:cs="Arial TUR"/>
                <w:sz w:val="16"/>
                <w:szCs w:val="16"/>
                <w:lang w:eastAsia="tr-TR"/>
              </w:rPr>
              <w:t>-</w:t>
            </w:r>
            <w:proofErr w:type="spellStart"/>
            <w:r w:rsidRPr="00D55C6B">
              <w:rPr>
                <w:rFonts w:asciiTheme="minorHAnsi" w:eastAsia="Times New Roman" w:hAnsiTheme="minorHAnsi" w:cs="Arial TUR"/>
                <w:sz w:val="16"/>
                <w:szCs w:val="16"/>
                <w:lang w:eastAsia="tr-TR"/>
              </w:rPr>
              <w:t>Komotini</w:t>
            </w:r>
            <w:proofErr w:type="spellEnd"/>
            <w:r w:rsidRPr="00D55C6B">
              <w:rPr>
                <w:rFonts w:asciiTheme="minorHAnsi" w:eastAsia="Times New Roman" w:hAnsiTheme="minorHAnsi" w:cs="Arial TUR"/>
                <w:sz w:val="16"/>
                <w:szCs w:val="16"/>
                <w:lang w:eastAsia="tr-TR"/>
              </w:rPr>
              <w:t>-Otranto</w:t>
            </w:r>
          </w:p>
        </w:tc>
        <w:tc>
          <w:tcPr>
            <w:tcW w:w="846"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808</w:t>
            </w:r>
          </w:p>
        </w:tc>
        <w:tc>
          <w:tcPr>
            <w:tcW w:w="802"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11,6</w:t>
            </w:r>
          </w:p>
        </w:tc>
        <w:tc>
          <w:tcPr>
            <w:tcW w:w="1319" w:type="dxa"/>
            <w:hideMark/>
          </w:tcPr>
          <w:p w:rsidR="0063701D" w:rsidRPr="00D55C6B" w:rsidRDefault="0063701D" w:rsidP="0063701D">
            <w:pPr>
              <w:spacing w:after="0" w:line="240" w:lineRule="auto"/>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Azerbaijan</w:t>
            </w:r>
          </w:p>
        </w:tc>
        <w:tc>
          <w:tcPr>
            <w:tcW w:w="1972"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In operation</w:t>
            </w:r>
          </w:p>
        </w:tc>
      </w:tr>
      <w:tr w:rsidR="0063701D" w:rsidRPr="00D55C6B" w:rsidTr="00392378">
        <w:trPr>
          <w:cnfStyle w:val="000000010000"/>
          <w:trHeight w:val="142"/>
        </w:trPr>
        <w:tc>
          <w:tcPr>
            <w:cnfStyle w:val="001000000000"/>
            <w:tcW w:w="2047" w:type="dxa"/>
          </w:tcPr>
          <w:p w:rsidR="0063701D" w:rsidRDefault="0063701D" w:rsidP="0063701D">
            <w:pPr>
              <w:spacing w:after="0" w:line="240" w:lineRule="auto"/>
              <w:rPr>
                <w:rFonts w:asciiTheme="minorHAnsi" w:hAnsiTheme="minorHAnsi" w:cs="Arial TUR"/>
                <w:b w:val="0"/>
                <w:bCs w:val="0"/>
                <w:sz w:val="16"/>
                <w:szCs w:val="16"/>
                <w:lang w:eastAsia="tr-TR"/>
              </w:rPr>
            </w:pPr>
            <w:r w:rsidRPr="00D55C6B">
              <w:rPr>
                <w:rFonts w:asciiTheme="minorHAnsi" w:hAnsiTheme="minorHAnsi" w:cs="Arial TUR"/>
                <w:b w:val="0"/>
                <w:bCs w:val="0"/>
                <w:sz w:val="16"/>
                <w:szCs w:val="16"/>
                <w:lang w:eastAsia="tr-TR"/>
              </w:rPr>
              <w:t>Baku</w:t>
            </w:r>
            <w:r>
              <w:rPr>
                <w:rFonts w:asciiTheme="minorHAnsi" w:hAnsiTheme="minorHAnsi" w:cs="Arial TUR"/>
                <w:b w:val="0"/>
                <w:bCs w:val="0"/>
                <w:sz w:val="16"/>
                <w:szCs w:val="16"/>
                <w:lang w:eastAsia="tr-TR"/>
              </w:rPr>
              <w:t>-</w:t>
            </w:r>
            <w:r w:rsidRPr="00D55C6B">
              <w:rPr>
                <w:rFonts w:asciiTheme="minorHAnsi" w:hAnsiTheme="minorHAnsi" w:cs="Arial TUR"/>
                <w:b w:val="0"/>
                <w:bCs w:val="0"/>
                <w:sz w:val="16"/>
                <w:szCs w:val="16"/>
                <w:lang w:eastAsia="tr-TR"/>
              </w:rPr>
              <w:t>Tbilisi</w:t>
            </w:r>
            <w:r>
              <w:rPr>
                <w:rFonts w:asciiTheme="minorHAnsi" w:hAnsiTheme="minorHAnsi" w:cs="Arial TUR"/>
                <w:b w:val="0"/>
                <w:bCs w:val="0"/>
                <w:sz w:val="16"/>
                <w:szCs w:val="16"/>
                <w:lang w:eastAsia="tr-TR"/>
              </w:rPr>
              <w:t>-</w:t>
            </w:r>
            <w:r w:rsidRPr="00D55C6B">
              <w:rPr>
                <w:rFonts w:asciiTheme="minorHAnsi" w:hAnsiTheme="minorHAnsi" w:cs="Arial TUR"/>
                <w:b w:val="0"/>
                <w:bCs w:val="0"/>
                <w:sz w:val="16"/>
                <w:szCs w:val="16"/>
                <w:lang w:eastAsia="tr-TR"/>
              </w:rPr>
              <w:t>Erzurum</w:t>
            </w:r>
            <w:r>
              <w:rPr>
                <w:rFonts w:asciiTheme="minorHAnsi" w:hAnsiTheme="minorHAnsi" w:cs="Arial TUR"/>
                <w:b w:val="0"/>
                <w:bCs w:val="0"/>
                <w:sz w:val="16"/>
                <w:szCs w:val="16"/>
                <w:lang w:eastAsia="tr-TR"/>
              </w:rPr>
              <w:t xml:space="preserve"> (BTE)</w:t>
            </w:r>
          </w:p>
          <w:p w:rsidR="0063701D" w:rsidRPr="00D55C6B" w:rsidRDefault="0063701D" w:rsidP="0063701D">
            <w:pPr>
              <w:spacing w:after="0" w:line="240" w:lineRule="auto"/>
              <w:rPr>
                <w:rFonts w:asciiTheme="minorHAnsi" w:hAnsiTheme="minorHAnsi" w:cs="Arial TUR"/>
                <w:b w:val="0"/>
                <w:bCs w:val="0"/>
                <w:sz w:val="16"/>
                <w:szCs w:val="16"/>
                <w:lang w:eastAsia="tr-TR"/>
              </w:rPr>
            </w:pPr>
            <w:r>
              <w:rPr>
                <w:rFonts w:asciiTheme="minorHAnsi" w:hAnsiTheme="minorHAnsi" w:cs="Arial TUR"/>
                <w:b w:val="0"/>
                <w:bCs w:val="0"/>
                <w:sz w:val="16"/>
                <w:szCs w:val="16"/>
                <w:lang w:eastAsia="tr-TR"/>
              </w:rPr>
              <w:t>(South Caucus Pipeline SCP)</w:t>
            </w:r>
          </w:p>
        </w:tc>
        <w:tc>
          <w:tcPr>
            <w:tcW w:w="2261" w:type="dxa"/>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Azerbaijan-Georgia-Turkey</w:t>
            </w:r>
          </w:p>
        </w:tc>
        <w:tc>
          <w:tcPr>
            <w:tcW w:w="846" w:type="dxa"/>
            <w:noWrap/>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690</w:t>
            </w:r>
          </w:p>
        </w:tc>
        <w:tc>
          <w:tcPr>
            <w:tcW w:w="802" w:type="dxa"/>
            <w:noWrap/>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8,8</w:t>
            </w:r>
          </w:p>
        </w:tc>
        <w:tc>
          <w:tcPr>
            <w:tcW w:w="1319" w:type="dxa"/>
          </w:tcPr>
          <w:p w:rsidR="0063701D" w:rsidRPr="00D55C6B" w:rsidRDefault="0063701D" w:rsidP="0063701D">
            <w:pPr>
              <w:spacing w:after="0" w:line="240" w:lineRule="auto"/>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Azerbaijan</w:t>
            </w:r>
          </w:p>
        </w:tc>
        <w:tc>
          <w:tcPr>
            <w:tcW w:w="1972" w:type="dxa"/>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In operation</w:t>
            </w:r>
          </w:p>
        </w:tc>
      </w:tr>
      <w:tr w:rsidR="0063701D" w:rsidRPr="00D55C6B" w:rsidTr="00392378">
        <w:trPr>
          <w:cnfStyle w:val="000000100000"/>
          <w:trHeight w:val="30"/>
        </w:trPr>
        <w:tc>
          <w:tcPr>
            <w:cnfStyle w:val="001000000000"/>
            <w:tcW w:w="2047" w:type="dxa"/>
            <w:hideMark/>
          </w:tcPr>
          <w:p w:rsidR="0063701D" w:rsidRPr="00283F1E" w:rsidRDefault="0063701D" w:rsidP="0063701D">
            <w:pPr>
              <w:spacing w:after="0" w:line="240" w:lineRule="auto"/>
              <w:rPr>
                <w:rFonts w:asciiTheme="minorHAnsi" w:hAnsiTheme="minorHAnsi" w:cs="Arial TUR"/>
                <w:b w:val="0"/>
                <w:bCs w:val="0"/>
                <w:sz w:val="16"/>
                <w:szCs w:val="16"/>
                <w:lang w:eastAsia="tr-TR"/>
              </w:rPr>
            </w:pPr>
            <w:r w:rsidRPr="00283F1E">
              <w:rPr>
                <w:rFonts w:asciiTheme="minorHAnsi" w:hAnsiTheme="minorHAnsi"/>
                <w:b w:val="0"/>
                <w:sz w:val="16"/>
                <w:szCs w:val="16"/>
              </w:rPr>
              <w:t>Trans-Arab Pipeline</w:t>
            </w:r>
          </w:p>
        </w:tc>
        <w:tc>
          <w:tcPr>
            <w:tcW w:w="2261"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Egypt-Jordan-Syria-Turkey</w:t>
            </w:r>
          </w:p>
        </w:tc>
        <w:tc>
          <w:tcPr>
            <w:tcW w:w="846"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1236</w:t>
            </w:r>
          </w:p>
        </w:tc>
        <w:tc>
          <w:tcPr>
            <w:tcW w:w="802"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10</w:t>
            </w:r>
          </w:p>
        </w:tc>
        <w:tc>
          <w:tcPr>
            <w:tcW w:w="1319" w:type="dxa"/>
            <w:hideMark/>
          </w:tcPr>
          <w:p w:rsidR="0063701D" w:rsidRPr="00D55C6B" w:rsidRDefault="0063701D" w:rsidP="0063701D">
            <w:pPr>
              <w:spacing w:after="0" w:line="240" w:lineRule="auto"/>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Egypt</w:t>
            </w:r>
          </w:p>
        </w:tc>
        <w:tc>
          <w:tcPr>
            <w:tcW w:w="1972"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Project Preparation Stag</w:t>
            </w:r>
            <w:r w:rsidRPr="00D55C6B">
              <w:rPr>
                <w:rFonts w:asciiTheme="minorHAnsi" w:eastAsia="Times New Roman" w:hAnsiTheme="minorHAnsi" w:cs="Arial TUR"/>
                <w:sz w:val="16"/>
                <w:szCs w:val="16"/>
                <w:lang w:eastAsia="tr-TR"/>
              </w:rPr>
              <w:t xml:space="preserve">e </w:t>
            </w:r>
          </w:p>
        </w:tc>
      </w:tr>
      <w:tr w:rsidR="0063701D" w:rsidRPr="00D55C6B" w:rsidTr="00392378">
        <w:trPr>
          <w:cnfStyle w:val="000000010000"/>
          <w:trHeight w:val="61"/>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r>
              <w:rPr>
                <w:rFonts w:asciiTheme="minorHAnsi" w:hAnsiTheme="minorHAnsi" w:cs="Arial TUR"/>
                <w:b w:val="0"/>
                <w:bCs w:val="0"/>
                <w:sz w:val="16"/>
                <w:szCs w:val="16"/>
                <w:lang w:eastAsia="tr-TR"/>
              </w:rPr>
              <w:t>Iraq</w:t>
            </w:r>
            <w:r w:rsidRPr="00D55C6B">
              <w:rPr>
                <w:rFonts w:asciiTheme="minorHAnsi" w:hAnsiTheme="minorHAnsi" w:cs="Arial TUR"/>
                <w:b w:val="0"/>
                <w:bCs w:val="0"/>
                <w:sz w:val="16"/>
                <w:szCs w:val="16"/>
                <w:lang w:eastAsia="tr-TR"/>
              </w:rPr>
              <w:t>-</w:t>
            </w:r>
            <w:proofErr w:type="spellStart"/>
            <w:r w:rsidRPr="00D55C6B">
              <w:rPr>
                <w:rFonts w:asciiTheme="minorHAnsi" w:hAnsiTheme="minorHAnsi" w:cs="Arial TUR"/>
                <w:b w:val="0"/>
                <w:bCs w:val="0"/>
                <w:sz w:val="16"/>
                <w:szCs w:val="16"/>
                <w:lang w:eastAsia="tr-TR"/>
              </w:rPr>
              <w:t>Turkiye</w:t>
            </w:r>
            <w:proofErr w:type="spellEnd"/>
          </w:p>
        </w:tc>
        <w:tc>
          <w:tcPr>
            <w:tcW w:w="2261"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Iraq - Turkey</w:t>
            </w:r>
          </w:p>
        </w:tc>
        <w:tc>
          <w:tcPr>
            <w:tcW w:w="846" w:type="dxa"/>
            <w:noWrap/>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1160</w:t>
            </w:r>
          </w:p>
        </w:tc>
        <w:tc>
          <w:tcPr>
            <w:tcW w:w="802" w:type="dxa"/>
            <w:noWrap/>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10</w:t>
            </w:r>
          </w:p>
        </w:tc>
        <w:tc>
          <w:tcPr>
            <w:tcW w:w="1319" w:type="dxa"/>
            <w:hideMark/>
          </w:tcPr>
          <w:p w:rsidR="0063701D" w:rsidRPr="00D55C6B" w:rsidRDefault="0063701D" w:rsidP="0063701D">
            <w:pPr>
              <w:spacing w:after="0" w:line="240" w:lineRule="auto"/>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Iraq</w:t>
            </w:r>
          </w:p>
        </w:tc>
        <w:tc>
          <w:tcPr>
            <w:tcW w:w="1972"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Project Preparation Stag</w:t>
            </w:r>
            <w:r w:rsidRPr="00D55C6B">
              <w:rPr>
                <w:rFonts w:asciiTheme="minorHAnsi" w:eastAsia="Times New Roman" w:hAnsiTheme="minorHAnsi" w:cs="Arial TUR"/>
                <w:sz w:val="16"/>
                <w:szCs w:val="16"/>
                <w:lang w:eastAsia="tr-TR"/>
              </w:rPr>
              <w:t>e</w:t>
            </w:r>
          </w:p>
        </w:tc>
      </w:tr>
      <w:tr w:rsidR="0063701D" w:rsidRPr="00D55C6B" w:rsidTr="00392378">
        <w:trPr>
          <w:cnfStyle w:val="000000100000"/>
          <w:trHeight w:val="178"/>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r w:rsidRPr="00D55C6B">
              <w:rPr>
                <w:rFonts w:asciiTheme="minorHAnsi" w:hAnsiTheme="minorHAnsi" w:cs="Arial TUR"/>
                <w:b w:val="0"/>
                <w:bCs w:val="0"/>
                <w:sz w:val="16"/>
                <w:szCs w:val="16"/>
                <w:lang w:eastAsia="tr-TR"/>
              </w:rPr>
              <w:t>Trans-Adriatic</w:t>
            </w:r>
          </w:p>
        </w:tc>
        <w:tc>
          <w:tcPr>
            <w:tcW w:w="2261"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Turkey-Greece-Albania</w:t>
            </w:r>
          </w:p>
        </w:tc>
        <w:tc>
          <w:tcPr>
            <w:tcW w:w="846"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533</w:t>
            </w:r>
          </w:p>
        </w:tc>
        <w:tc>
          <w:tcPr>
            <w:tcW w:w="802" w:type="dxa"/>
            <w:noWrap/>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24</w:t>
            </w:r>
          </w:p>
        </w:tc>
        <w:tc>
          <w:tcPr>
            <w:tcW w:w="1319" w:type="dxa"/>
            <w:hideMark/>
          </w:tcPr>
          <w:p w:rsidR="0063701D" w:rsidRPr="00D55C6B" w:rsidRDefault="0063701D" w:rsidP="0063701D">
            <w:pPr>
              <w:spacing w:after="0" w:line="240" w:lineRule="auto"/>
              <w:cnfStyle w:val="00000010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 xml:space="preserve">Iran-Shah </w:t>
            </w:r>
            <w:r>
              <w:rPr>
                <w:rFonts w:asciiTheme="minorHAnsi" w:eastAsia="Times New Roman" w:hAnsiTheme="minorHAnsi" w:cs="Arial TUR"/>
                <w:sz w:val="16"/>
                <w:szCs w:val="16"/>
                <w:lang w:eastAsia="tr-TR"/>
              </w:rPr>
              <w:t>Deniz</w:t>
            </w:r>
          </w:p>
        </w:tc>
        <w:tc>
          <w:tcPr>
            <w:tcW w:w="1972" w:type="dxa"/>
            <w:hideMark/>
          </w:tcPr>
          <w:p w:rsidR="0063701D" w:rsidRPr="00D55C6B" w:rsidRDefault="0063701D" w:rsidP="0063701D">
            <w:pPr>
              <w:spacing w:after="0" w:line="240" w:lineRule="auto"/>
              <w:jc w:val="center"/>
              <w:cnfStyle w:val="00000010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Project Preparation Stag</w:t>
            </w:r>
            <w:r w:rsidRPr="00D55C6B">
              <w:rPr>
                <w:rFonts w:asciiTheme="minorHAnsi" w:eastAsia="Times New Roman" w:hAnsiTheme="minorHAnsi" w:cs="Arial TUR"/>
                <w:sz w:val="16"/>
                <w:szCs w:val="16"/>
                <w:lang w:eastAsia="tr-TR"/>
              </w:rPr>
              <w:t>e</w:t>
            </w:r>
          </w:p>
        </w:tc>
      </w:tr>
      <w:tr w:rsidR="0063701D" w:rsidRPr="00D55C6B" w:rsidTr="00392378">
        <w:trPr>
          <w:cnfStyle w:val="000000010000"/>
          <w:trHeight w:val="88"/>
        </w:trPr>
        <w:tc>
          <w:tcPr>
            <w:cnfStyle w:val="001000000000"/>
            <w:tcW w:w="2047" w:type="dxa"/>
            <w:hideMark/>
          </w:tcPr>
          <w:p w:rsidR="0063701D" w:rsidRPr="00D55C6B" w:rsidRDefault="0063701D" w:rsidP="0063701D">
            <w:pPr>
              <w:spacing w:after="0" w:line="240" w:lineRule="auto"/>
              <w:rPr>
                <w:rFonts w:asciiTheme="minorHAnsi" w:hAnsiTheme="minorHAnsi" w:cs="Arial TUR"/>
                <w:b w:val="0"/>
                <w:bCs w:val="0"/>
                <w:sz w:val="16"/>
                <w:szCs w:val="16"/>
                <w:lang w:eastAsia="tr-TR"/>
              </w:rPr>
            </w:pPr>
            <w:proofErr w:type="spellStart"/>
            <w:r w:rsidRPr="00D55C6B">
              <w:rPr>
                <w:rFonts w:asciiTheme="minorHAnsi" w:hAnsiTheme="minorHAnsi" w:cs="Arial TUR"/>
                <w:b w:val="0"/>
                <w:bCs w:val="0"/>
                <w:sz w:val="16"/>
                <w:szCs w:val="16"/>
                <w:lang w:eastAsia="tr-TR"/>
              </w:rPr>
              <w:t>Nabucco</w:t>
            </w:r>
            <w:proofErr w:type="spellEnd"/>
          </w:p>
        </w:tc>
        <w:tc>
          <w:tcPr>
            <w:tcW w:w="2261"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Turkey-Bulgaria --Romania-Hungary -Austria</w:t>
            </w:r>
          </w:p>
        </w:tc>
        <w:tc>
          <w:tcPr>
            <w:tcW w:w="846"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3282</w:t>
            </w:r>
          </w:p>
        </w:tc>
        <w:tc>
          <w:tcPr>
            <w:tcW w:w="802" w:type="dxa"/>
            <w:noWrap/>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30</w:t>
            </w:r>
          </w:p>
        </w:tc>
        <w:tc>
          <w:tcPr>
            <w:tcW w:w="1319" w:type="dxa"/>
            <w:hideMark/>
          </w:tcPr>
          <w:p w:rsidR="0063701D" w:rsidRPr="00D55C6B" w:rsidRDefault="0063701D" w:rsidP="0063701D">
            <w:pPr>
              <w:spacing w:after="0" w:line="240" w:lineRule="auto"/>
              <w:cnfStyle w:val="000000010000"/>
              <w:rPr>
                <w:rFonts w:asciiTheme="minorHAnsi" w:eastAsia="Times New Roman" w:hAnsiTheme="minorHAnsi" w:cs="Arial TUR"/>
                <w:sz w:val="16"/>
                <w:szCs w:val="16"/>
                <w:lang w:eastAsia="tr-TR"/>
              </w:rPr>
            </w:pPr>
            <w:r w:rsidRPr="00D55C6B">
              <w:rPr>
                <w:rFonts w:asciiTheme="minorHAnsi" w:eastAsia="Times New Roman" w:hAnsiTheme="minorHAnsi" w:cs="Arial TUR"/>
                <w:sz w:val="16"/>
                <w:szCs w:val="16"/>
                <w:lang w:eastAsia="tr-TR"/>
              </w:rPr>
              <w:t>Caspian Region - Iran-Iraq-Egypt</w:t>
            </w:r>
          </w:p>
        </w:tc>
        <w:tc>
          <w:tcPr>
            <w:tcW w:w="1972" w:type="dxa"/>
            <w:hideMark/>
          </w:tcPr>
          <w:p w:rsidR="0063701D" w:rsidRPr="00D55C6B" w:rsidRDefault="0063701D" w:rsidP="0063701D">
            <w:pPr>
              <w:spacing w:after="0" w:line="240" w:lineRule="auto"/>
              <w:jc w:val="center"/>
              <w:cnfStyle w:val="000000010000"/>
              <w:rPr>
                <w:rFonts w:asciiTheme="minorHAnsi" w:eastAsia="Times New Roman" w:hAnsiTheme="minorHAnsi" w:cs="Arial TUR"/>
                <w:sz w:val="16"/>
                <w:szCs w:val="16"/>
                <w:lang w:eastAsia="tr-TR"/>
              </w:rPr>
            </w:pPr>
            <w:r>
              <w:rPr>
                <w:rFonts w:asciiTheme="minorHAnsi" w:eastAsia="Times New Roman" w:hAnsiTheme="minorHAnsi" w:cs="Arial TUR"/>
                <w:sz w:val="16"/>
                <w:szCs w:val="16"/>
                <w:lang w:eastAsia="tr-TR"/>
              </w:rPr>
              <w:t>Project Preparation Stag</w:t>
            </w:r>
            <w:r w:rsidRPr="00D55C6B">
              <w:rPr>
                <w:rFonts w:asciiTheme="minorHAnsi" w:eastAsia="Times New Roman" w:hAnsiTheme="minorHAnsi" w:cs="Arial TUR"/>
                <w:sz w:val="16"/>
                <w:szCs w:val="16"/>
                <w:lang w:eastAsia="tr-TR"/>
              </w:rPr>
              <w:t>e</w:t>
            </w:r>
          </w:p>
        </w:tc>
      </w:tr>
    </w:tbl>
    <w:p w:rsidR="0063701D" w:rsidRPr="00D55C6B" w:rsidRDefault="0063701D" w:rsidP="0063701D">
      <w:pPr>
        <w:spacing w:after="0"/>
        <w:rPr>
          <w:sz w:val="16"/>
          <w:szCs w:val="16"/>
        </w:rPr>
      </w:pPr>
      <w:r>
        <w:rPr>
          <w:b/>
          <w:sz w:val="16"/>
          <w:szCs w:val="16"/>
        </w:rPr>
        <w:t xml:space="preserve">   </w:t>
      </w:r>
      <w:r w:rsidRPr="00D55C6B">
        <w:rPr>
          <w:b/>
          <w:sz w:val="16"/>
          <w:szCs w:val="16"/>
        </w:rPr>
        <w:t xml:space="preserve">Source: </w:t>
      </w:r>
      <w:r w:rsidRPr="00D55C6B">
        <w:rPr>
          <w:sz w:val="16"/>
          <w:szCs w:val="16"/>
        </w:rPr>
        <w:t>Ministry of Energy and Natural Resources (MENR)</w:t>
      </w:r>
    </w:p>
    <w:p w:rsidR="00CB7EBF" w:rsidRPr="007366EE" w:rsidRDefault="00CB7EBF" w:rsidP="00CE0266">
      <w:pPr>
        <w:spacing w:after="0"/>
        <w:rPr>
          <w:sz w:val="20"/>
          <w:szCs w:val="20"/>
        </w:rPr>
      </w:pPr>
    </w:p>
    <w:p w:rsidR="00922BFE" w:rsidRPr="007366EE" w:rsidRDefault="00922BFE" w:rsidP="00CE0266">
      <w:pPr>
        <w:spacing w:after="0"/>
        <w:rPr>
          <w:b/>
          <w:sz w:val="20"/>
          <w:szCs w:val="20"/>
        </w:rPr>
      </w:pPr>
      <w:r w:rsidRPr="007366EE">
        <w:rPr>
          <w:rStyle w:val="csssubheading2"/>
          <w:b/>
          <w:sz w:val="20"/>
          <w:szCs w:val="20"/>
        </w:rPr>
        <w:t>Blue Stream Pipeline</w:t>
      </w:r>
    </w:p>
    <w:p w:rsidR="00922BFE" w:rsidRDefault="00922BFE" w:rsidP="00CE0266">
      <w:pPr>
        <w:spacing w:after="0"/>
        <w:rPr>
          <w:sz w:val="20"/>
          <w:szCs w:val="20"/>
        </w:rPr>
      </w:pPr>
      <w:r w:rsidRPr="007366EE">
        <w:rPr>
          <w:sz w:val="20"/>
          <w:szCs w:val="20"/>
        </w:rPr>
        <w:t xml:space="preserve">The Blue Stream natural gas pipeline transports Russian natural gas to Turkey via a </w:t>
      </w:r>
      <w:r w:rsidR="00217B18">
        <w:rPr>
          <w:sz w:val="20"/>
          <w:szCs w:val="20"/>
        </w:rPr>
        <w:t>1213</w:t>
      </w:r>
      <w:r w:rsidR="001022B8">
        <w:rPr>
          <w:sz w:val="20"/>
          <w:szCs w:val="20"/>
        </w:rPr>
        <w:t>-km</w:t>
      </w:r>
      <w:r w:rsidRPr="007366EE">
        <w:rPr>
          <w:sz w:val="20"/>
          <w:szCs w:val="20"/>
        </w:rPr>
        <w:t xml:space="preserve"> pipeline, </w:t>
      </w:r>
      <w:r w:rsidR="00217B18">
        <w:rPr>
          <w:sz w:val="20"/>
          <w:szCs w:val="20"/>
        </w:rPr>
        <w:t>400</w:t>
      </w:r>
      <w:r w:rsidR="001022B8">
        <w:rPr>
          <w:sz w:val="20"/>
          <w:szCs w:val="20"/>
        </w:rPr>
        <w:t xml:space="preserve"> km</w:t>
      </w:r>
      <w:r w:rsidRPr="007366EE">
        <w:rPr>
          <w:sz w:val="20"/>
          <w:szCs w:val="20"/>
        </w:rPr>
        <w:t xml:space="preserve"> of which extends underneath the Black Sea. The project was carried out by Russia’s</w:t>
      </w:r>
      <w:r w:rsidR="001022B8">
        <w:rPr>
          <w:sz w:val="20"/>
          <w:szCs w:val="20"/>
        </w:rPr>
        <w:t xml:space="preserve"> </w:t>
      </w:r>
      <w:proofErr w:type="spellStart"/>
      <w:r w:rsidR="001022B8">
        <w:rPr>
          <w:sz w:val="20"/>
          <w:szCs w:val="20"/>
        </w:rPr>
        <w:t>Gazprom</w:t>
      </w:r>
      <w:proofErr w:type="spellEnd"/>
      <w:r w:rsidR="001022B8">
        <w:rPr>
          <w:sz w:val="20"/>
          <w:szCs w:val="20"/>
        </w:rPr>
        <w:t xml:space="preserve">, Italy’s </w:t>
      </w:r>
      <w:proofErr w:type="spellStart"/>
      <w:proofErr w:type="gramStart"/>
      <w:r w:rsidR="001022B8">
        <w:rPr>
          <w:sz w:val="20"/>
          <w:szCs w:val="20"/>
        </w:rPr>
        <w:t>Eni</w:t>
      </w:r>
      <w:proofErr w:type="spellEnd"/>
      <w:r w:rsidR="001022B8">
        <w:rPr>
          <w:sz w:val="20"/>
          <w:szCs w:val="20"/>
        </w:rPr>
        <w:t>,</w:t>
      </w:r>
      <w:proofErr w:type="gramEnd"/>
      <w:r w:rsidR="001022B8">
        <w:rPr>
          <w:sz w:val="20"/>
          <w:szCs w:val="20"/>
        </w:rPr>
        <w:t xml:space="preserve"> and BOTAS</w:t>
      </w:r>
      <w:r w:rsidRPr="007366EE">
        <w:rPr>
          <w:sz w:val="20"/>
          <w:szCs w:val="20"/>
        </w:rPr>
        <w:t xml:space="preserve"> at an estimated cost of $3.2 billion. The line reaches the Turkish port of </w:t>
      </w:r>
      <w:proofErr w:type="spellStart"/>
      <w:r w:rsidRPr="007366EE">
        <w:rPr>
          <w:sz w:val="20"/>
          <w:szCs w:val="20"/>
        </w:rPr>
        <w:t>Sumsun</w:t>
      </w:r>
      <w:proofErr w:type="spellEnd"/>
      <w:r w:rsidRPr="007366EE">
        <w:rPr>
          <w:sz w:val="20"/>
          <w:szCs w:val="20"/>
        </w:rPr>
        <w:t xml:space="preserve"> and extends to Ankara. At its lowest point, the pipeline reaches </w:t>
      </w:r>
      <w:r w:rsidR="00700664">
        <w:rPr>
          <w:sz w:val="20"/>
          <w:szCs w:val="20"/>
        </w:rPr>
        <w:t xml:space="preserve">underwater depths of </w:t>
      </w:r>
      <w:r w:rsidR="001022B8">
        <w:rPr>
          <w:sz w:val="20"/>
          <w:szCs w:val="20"/>
        </w:rPr>
        <w:t>2150 meters</w:t>
      </w:r>
      <w:r w:rsidR="00217B18">
        <w:rPr>
          <w:sz w:val="20"/>
          <w:szCs w:val="20"/>
        </w:rPr>
        <w:t>.</w:t>
      </w:r>
      <w:r w:rsidRPr="007366EE">
        <w:rPr>
          <w:sz w:val="20"/>
          <w:szCs w:val="20"/>
        </w:rPr>
        <w:t xml:space="preserve"> </w:t>
      </w:r>
      <w:r w:rsidR="000E20F2" w:rsidRPr="00E65C9D">
        <w:rPr>
          <w:sz w:val="20"/>
          <w:szCs w:val="20"/>
        </w:rPr>
        <w:t>Construction of the line was completed in December 2002, with an i</w:t>
      </w:r>
      <w:r w:rsidR="000E20F2">
        <w:rPr>
          <w:sz w:val="20"/>
          <w:szCs w:val="20"/>
        </w:rPr>
        <w:t>nitial schedule of delivering 2 billion m</w:t>
      </w:r>
      <w:r w:rsidR="000E20F2">
        <w:rPr>
          <w:sz w:val="20"/>
          <w:szCs w:val="20"/>
          <w:vertAlign w:val="superscript"/>
        </w:rPr>
        <w:t>3</w:t>
      </w:r>
      <w:r w:rsidR="000E20F2" w:rsidRPr="00E65C9D">
        <w:rPr>
          <w:sz w:val="20"/>
          <w:szCs w:val="20"/>
        </w:rPr>
        <w:t xml:space="preserve"> of natural gas in 2003.</w:t>
      </w:r>
      <w:r w:rsidR="000E20F2">
        <w:rPr>
          <w:sz w:val="20"/>
          <w:szCs w:val="20"/>
        </w:rPr>
        <w:t xml:space="preserve"> However, dues to </w:t>
      </w:r>
      <w:r w:rsidR="00837BD0">
        <w:rPr>
          <w:sz w:val="20"/>
          <w:szCs w:val="20"/>
        </w:rPr>
        <w:t>disruptions, the line’s</w:t>
      </w:r>
      <w:r w:rsidRPr="007366EE">
        <w:rPr>
          <w:sz w:val="20"/>
          <w:szCs w:val="20"/>
        </w:rPr>
        <w:t xml:space="preserve"> formal inauguration took place in November 2005 at a metering station in Samsun, Turkey. </w:t>
      </w:r>
    </w:p>
    <w:p w:rsidR="00922BFE" w:rsidRDefault="00922BFE" w:rsidP="00CE0266">
      <w:pPr>
        <w:spacing w:after="0"/>
        <w:rPr>
          <w:sz w:val="20"/>
          <w:szCs w:val="20"/>
        </w:rPr>
      </w:pPr>
      <w:r w:rsidRPr="007366EE">
        <w:rPr>
          <w:sz w:val="20"/>
          <w:szCs w:val="20"/>
        </w:rPr>
        <w:lastRenderedPageBreak/>
        <w:t xml:space="preserve">The Blue Stream pipeline has a capacity to pump </w:t>
      </w:r>
      <w:r w:rsidR="00217B18">
        <w:rPr>
          <w:sz w:val="20"/>
          <w:szCs w:val="20"/>
        </w:rPr>
        <w:t>16 billion m</w:t>
      </w:r>
      <w:r w:rsidR="00217B18">
        <w:rPr>
          <w:sz w:val="20"/>
          <w:szCs w:val="20"/>
          <w:vertAlign w:val="superscript"/>
        </w:rPr>
        <w:t>3</w:t>
      </w:r>
      <w:r w:rsidRPr="007366EE">
        <w:rPr>
          <w:sz w:val="20"/>
          <w:szCs w:val="20"/>
        </w:rPr>
        <w:t xml:space="preserve"> pe</w:t>
      </w:r>
      <w:r w:rsidR="00217B18">
        <w:rPr>
          <w:sz w:val="20"/>
          <w:szCs w:val="20"/>
        </w:rPr>
        <w:t>r year of natural gas to Turkey</w:t>
      </w:r>
      <w:r w:rsidRPr="007366EE">
        <w:rPr>
          <w:sz w:val="20"/>
          <w:szCs w:val="20"/>
        </w:rPr>
        <w:t xml:space="preserve">.  Turkey already receives additional piped natural gas imports from Russia via a Western overland route that transports natural gas to Turkey, passing through Moldova, Ukraine, Romania, and Bulgaria (commonly referred to as the Trans-Balkan Pipeline). This line has a capacity to deliver </w:t>
      </w:r>
      <w:r w:rsidR="00217B18">
        <w:rPr>
          <w:sz w:val="20"/>
          <w:szCs w:val="20"/>
        </w:rPr>
        <w:t>14 billion m</w:t>
      </w:r>
      <w:r w:rsidR="00217B18">
        <w:rPr>
          <w:sz w:val="20"/>
          <w:szCs w:val="20"/>
          <w:vertAlign w:val="superscript"/>
        </w:rPr>
        <w:t>3</w:t>
      </w:r>
      <w:r w:rsidRPr="007366EE">
        <w:rPr>
          <w:sz w:val="20"/>
          <w:szCs w:val="20"/>
        </w:rPr>
        <w:t xml:space="preserve"> per year of natural gas to Turkey.</w:t>
      </w:r>
      <w:r w:rsidR="00D51C7C">
        <w:rPr>
          <w:sz w:val="20"/>
          <w:szCs w:val="20"/>
        </w:rPr>
        <w:t xml:space="preserve"> In 2007,</w:t>
      </w:r>
      <w:r w:rsidR="0073214D">
        <w:rPr>
          <w:sz w:val="20"/>
          <w:szCs w:val="20"/>
        </w:rPr>
        <w:t xml:space="preserve"> Turkey imported 63</w:t>
      </w:r>
      <w:r w:rsidR="00D51C7C">
        <w:rPr>
          <w:sz w:val="20"/>
          <w:szCs w:val="20"/>
        </w:rPr>
        <w:t xml:space="preserve"> % of its natural gas from Russia, </w:t>
      </w:r>
      <w:r w:rsidRPr="007366EE">
        <w:rPr>
          <w:sz w:val="20"/>
          <w:szCs w:val="20"/>
        </w:rPr>
        <w:t xml:space="preserve">significantly increasing Turkey’s dependence on Russia for natural gas, and </w:t>
      </w:r>
      <w:r w:rsidR="00D51C7C" w:rsidRPr="007366EE">
        <w:rPr>
          <w:sz w:val="20"/>
          <w:szCs w:val="20"/>
        </w:rPr>
        <w:t xml:space="preserve">thereby </w:t>
      </w:r>
      <w:r w:rsidR="00D51C7C">
        <w:rPr>
          <w:sz w:val="20"/>
          <w:szCs w:val="20"/>
        </w:rPr>
        <w:t xml:space="preserve">analysts are </w:t>
      </w:r>
      <w:r w:rsidRPr="007366EE">
        <w:rPr>
          <w:sz w:val="20"/>
          <w:szCs w:val="20"/>
        </w:rPr>
        <w:t xml:space="preserve">crowding out other planned or proposed pipeline projects that would diversify the country’s energy sources. </w:t>
      </w:r>
    </w:p>
    <w:p w:rsidR="00313276" w:rsidRDefault="00313276" w:rsidP="00CE0266">
      <w:pPr>
        <w:spacing w:after="0"/>
        <w:rPr>
          <w:sz w:val="20"/>
          <w:szCs w:val="20"/>
        </w:rPr>
      </w:pPr>
    </w:p>
    <w:p w:rsidR="00922BFE" w:rsidRPr="00313276" w:rsidRDefault="00922BFE" w:rsidP="00CE0266">
      <w:pPr>
        <w:spacing w:after="0"/>
        <w:rPr>
          <w:b/>
          <w:sz w:val="20"/>
          <w:szCs w:val="20"/>
        </w:rPr>
      </w:pPr>
      <w:r w:rsidRPr="00313276">
        <w:rPr>
          <w:rStyle w:val="csssubheading2"/>
          <w:b/>
          <w:sz w:val="20"/>
          <w:szCs w:val="20"/>
        </w:rPr>
        <w:t>Iran-Turkey Pipeline</w:t>
      </w:r>
    </w:p>
    <w:p w:rsidR="00922BFE" w:rsidRPr="00A10E5F" w:rsidRDefault="00922BFE" w:rsidP="00CE0266">
      <w:pPr>
        <w:spacing w:after="0"/>
        <w:rPr>
          <w:sz w:val="20"/>
          <w:szCs w:val="20"/>
        </w:rPr>
      </w:pPr>
      <w:r w:rsidRPr="007366EE">
        <w:rPr>
          <w:sz w:val="20"/>
          <w:szCs w:val="20"/>
        </w:rPr>
        <w:t xml:space="preserve">In January 2002, Iran and Turkey officially inaugurated a natural gas pipeline link between the two countries, following several years of delays. The line runs approximately </w:t>
      </w:r>
      <w:r w:rsidR="00D51C7C">
        <w:rPr>
          <w:sz w:val="20"/>
          <w:szCs w:val="20"/>
        </w:rPr>
        <w:t>1210 km</w:t>
      </w:r>
      <w:r w:rsidRPr="007366EE">
        <w:rPr>
          <w:sz w:val="20"/>
          <w:szCs w:val="20"/>
        </w:rPr>
        <w:t xml:space="preserve"> from Tabriz in Iran to Ankara, the Turkish capital. The pipeline has a maximum capacity to pump </w:t>
      </w:r>
      <w:r w:rsidR="00D51C7C">
        <w:rPr>
          <w:sz w:val="20"/>
          <w:szCs w:val="20"/>
        </w:rPr>
        <w:t>16 m</w:t>
      </w:r>
      <w:r w:rsidR="00D51C7C">
        <w:rPr>
          <w:sz w:val="20"/>
          <w:szCs w:val="20"/>
          <w:vertAlign w:val="superscript"/>
        </w:rPr>
        <w:t>3</w:t>
      </w:r>
      <w:r w:rsidR="00D51C7C">
        <w:rPr>
          <w:sz w:val="20"/>
          <w:szCs w:val="20"/>
        </w:rPr>
        <w:t xml:space="preserve"> per year of natural gas</w:t>
      </w:r>
      <w:r w:rsidR="00837BD0">
        <w:rPr>
          <w:sz w:val="20"/>
          <w:szCs w:val="20"/>
        </w:rPr>
        <w:t xml:space="preserve">, </w:t>
      </w:r>
      <w:r w:rsidR="00837BD0" w:rsidRPr="00837BD0">
        <w:rPr>
          <w:sz w:val="20"/>
          <w:szCs w:val="20"/>
        </w:rPr>
        <w:t>although since the project began, annual levels ha</w:t>
      </w:r>
      <w:r w:rsidR="00837BD0">
        <w:rPr>
          <w:sz w:val="20"/>
          <w:szCs w:val="20"/>
        </w:rPr>
        <w:t>ve generally been within the 3 to 4 billion m</w:t>
      </w:r>
      <w:r w:rsidR="00837BD0">
        <w:rPr>
          <w:sz w:val="20"/>
          <w:szCs w:val="20"/>
          <w:vertAlign w:val="superscript"/>
        </w:rPr>
        <w:t>3</w:t>
      </w:r>
      <w:r w:rsidR="00837BD0" w:rsidRPr="00837BD0">
        <w:rPr>
          <w:sz w:val="20"/>
          <w:szCs w:val="20"/>
        </w:rPr>
        <w:t xml:space="preserve"> range. There have been several supply disruptions on the Tabriz-Ankara line. On January 19, 2006, Iran reduced natural gas flows through the line </w:t>
      </w:r>
      <w:proofErr w:type="gramStart"/>
      <w:r w:rsidR="00837BD0" w:rsidRPr="00837BD0">
        <w:rPr>
          <w:sz w:val="20"/>
          <w:szCs w:val="20"/>
        </w:rPr>
        <w:t xml:space="preserve">to </w:t>
      </w:r>
      <w:r w:rsidR="00603696">
        <w:rPr>
          <w:sz w:val="20"/>
          <w:szCs w:val="20"/>
        </w:rPr>
        <w:t>12 million m</w:t>
      </w:r>
      <w:r w:rsidR="00603696">
        <w:rPr>
          <w:sz w:val="20"/>
          <w:szCs w:val="20"/>
          <w:vertAlign w:val="superscript"/>
        </w:rPr>
        <w:t>3</w:t>
      </w:r>
      <w:r w:rsidR="00837BD0" w:rsidRPr="00837BD0">
        <w:rPr>
          <w:sz w:val="20"/>
          <w:szCs w:val="20"/>
        </w:rPr>
        <w:t>/d,</w:t>
      </w:r>
      <w:proofErr w:type="gramEnd"/>
      <w:r w:rsidR="00837BD0" w:rsidRPr="00837BD0">
        <w:rPr>
          <w:sz w:val="20"/>
          <w:szCs w:val="20"/>
        </w:rPr>
        <w:t xml:space="preserve"> citing “technical problems” caused by cold weather at the Tabriz natural gas field. At that time, the lin</w:t>
      </w:r>
      <w:r w:rsidR="00603696">
        <w:rPr>
          <w:sz w:val="20"/>
          <w:szCs w:val="20"/>
        </w:rPr>
        <w:t>e should have been exporting 27</w:t>
      </w:r>
      <w:r w:rsidR="00837BD0" w:rsidRPr="00837BD0">
        <w:rPr>
          <w:sz w:val="20"/>
          <w:szCs w:val="20"/>
        </w:rPr>
        <w:t xml:space="preserve"> </w:t>
      </w:r>
      <w:r w:rsidR="00603696">
        <w:rPr>
          <w:sz w:val="20"/>
          <w:szCs w:val="20"/>
        </w:rPr>
        <w:t>million m</w:t>
      </w:r>
      <w:r w:rsidR="00603696">
        <w:rPr>
          <w:sz w:val="20"/>
          <w:szCs w:val="20"/>
          <w:vertAlign w:val="superscript"/>
        </w:rPr>
        <w:t>3</w:t>
      </w:r>
      <w:r w:rsidR="00603696" w:rsidRPr="00837BD0">
        <w:rPr>
          <w:sz w:val="20"/>
          <w:szCs w:val="20"/>
        </w:rPr>
        <w:t xml:space="preserve">/d </w:t>
      </w:r>
      <w:r w:rsidR="00837BD0" w:rsidRPr="00837BD0">
        <w:rPr>
          <w:sz w:val="20"/>
          <w:szCs w:val="20"/>
        </w:rPr>
        <w:t xml:space="preserve">of natural gas to Turkey. </w:t>
      </w:r>
      <w:r w:rsidR="00A10E5F" w:rsidRPr="00A10E5F">
        <w:rPr>
          <w:sz w:val="20"/>
          <w:szCs w:val="20"/>
        </w:rPr>
        <w:t>On 1 January 2008 Iran reduced gas supplies to Turkey and on 7 January 2008 gas supplies were stopped because cut-off gas supplies from Turkmenistan. The supplies were restored on 27 January 2008. The supply was cut-off again in February 2008 because of bad weather conditions.</w:t>
      </w:r>
    </w:p>
    <w:p w:rsidR="00D51C7C" w:rsidRDefault="00D51C7C" w:rsidP="00CE0266">
      <w:pPr>
        <w:spacing w:after="0"/>
        <w:rPr>
          <w:rStyle w:val="csssubheading1"/>
          <w:b/>
          <w:sz w:val="20"/>
          <w:szCs w:val="20"/>
        </w:rPr>
      </w:pPr>
    </w:p>
    <w:p w:rsidR="00D51C7C" w:rsidRPr="00661D1D" w:rsidRDefault="00D51C7C" w:rsidP="00D51C7C">
      <w:pPr>
        <w:spacing w:after="0"/>
        <w:rPr>
          <w:b/>
          <w:sz w:val="20"/>
          <w:szCs w:val="20"/>
        </w:rPr>
      </w:pPr>
      <w:r w:rsidRPr="00661D1D">
        <w:rPr>
          <w:rStyle w:val="csssubheading2"/>
          <w:b/>
          <w:sz w:val="20"/>
          <w:szCs w:val="20"/>
        </w:rPr>
        <w:t>South Caucasus Pipeline</w:t>
      </w:r>
    </w:p>
    <w:p w:rsidR="00D51C7C" w:rsidRPr="00912D5C" w:rsidRDefault="00E97D4A" w:rsidP="00D51C7C">
      <w:pPr>
        <w:spacing w:after="0"/>
        <w:rPr>
          <w:sz w:val="20"/>
          <w:szCs w:val="20"/>
        </w:rPr>
      </w:pPr>
      <w:r w:rsidRPr="00E97D4A">
        <w:rPr>
          <w:sz w:val="20"/>
          <w:szCs w:val="20"/>
        </w:rPr>
        <w:t>The Pipeline transport natural gas from the Shah Deniz gas field in the Azerbaijan sector of the Caspian Sea to Turkey.</w:t>
      </w:r>
      <w:r w:rsidR="00D51C7C" w:rsidRPr="007366EE">
        <w:rPr>
          <w:sz w:val="20"/>
          <w:szCs w:val="20"/>
        </w:rPr>
        <w:t xml:space="preserve"> The line is variously known as the South Caucasus Pipeline (SCP) or Baku-Tbilisi-Erzurum (BTE), and run</w:t>
      </w:r>
      <w:r w:rsidR="00912D5C">
        <w:rPr>
          <w:sz w:val="20"/>
          <w:szCs w:val="20"/>
        </w:rPr>
        <w:t>s</w:t>
      </w:r>
      <w:r w:rsidR="00D51C7C" w:rsidRPr="007366EE">
        <w:rPr>
          <w:sz w:val="20"/>
          <w:szCs w:val="20"/>
        </w:rPr>
        <w:t xml:space="preserve"> parallel to the crude oil BTC pipeline for most of its route before connecting to the Turkish pipeline network near </w:t>
      </w:r>
      <w:proofErr w:type="spellStart"/>
      <w:r w:rsidR="00D51C7C" w:rsidRPr="007366EE">
        <w:rPr>
          <w:sz w:val="20"/>
          <w:szCs w:val="20"/>
        </w:rPr>
        <w:t>Horasan</w:t>
      </w:r>
      <w:proofErr w:type="spellEnd"/>
      <w:r w:rsidR="00912D5C">
        <w:rPr>
          <w:sz w:val="20"/>
          <w:szCs w:val="20"/>
        </w:rPr>
        <w:t xml:space="preserve"> in Erzurum</w:t>
      </w:r>
      <w:r w:rsidR="00D51C7C" w:rsidRPr="007366EE">
        <w:rPr>
          <w:sz w:val="20"/>
          <w:szCs w:val="20"/>
        </w:rPr>
        <w:t>. Construction on the $1.3 billion project began in late 2004, and the pipeli</w:t>
      </w:r>
      <w:r w:rsidR="00912D5C">
        <w:rPr>
          <w:sz w:val="20"/>
          <w:szCs w:val="20"/>
        </w:rPr>
        <w:t>ne was</w:t>
      </w:r>
      <w:r w:rsidR="00D51C7C" w:rsidRPr="007366EE">
        <w:rPr>
          <w:sz w:val="20"/>
          <w:szCs w:val="20"/>
        </w:rPr>
        <w:t xml:space="preserve"> compl</w:t>
      </w:r>
      <w:r w:rsidR="00912D5C">
        <w:rPr>
          <w:sz w:val="20"/>
          <w:szCs w:val="20"/>
        </w:rPr>
        <w:t xml:space="preserve">eted </w:t>
      </w:r>
      <w:r>
        <w:rPr>
          <w:sz w:val="20"/>
          <w:szCs w:val="20"/>
        </w:rPr>
        <w:t>during the first quarter of</w:t>
      </w:r>
      <w:r w:rsidR="00D51C7C" w:rsidRPr="007366EE">
        <w:rPr>
          <w:sz w:val="20"/>
          <w:szCs w:val="20"/>
        </w:rPr>
        <w:t xml:space="preserve"> 2007</w:t>
      </w:r>
      <w:r>
        <w:rPr>
          <w:sz w:val="20"/>
          <w:szCs w:val="20"/>
        </w:rPr>
        <w:t xml:space="preserve"> and it started to transport gas in July 2007</w:t>
      </w:r>
      <w:r w:rsidR="00D51C7C" w:rsidRPr="007366EE">
        <w:rPr>
          <w:sz w:val="20"/>
          <w:szCs w:val="20"/>
        </w:rPr>
        <w:t>.</w:t>
      </w:r>
      <w:r w:rsidR="00912D5C" w:rsidRPr="00912D5C">
        <w:t xml:space="preserve"> </w:t>
      </w:r>
      <w:r w:rsidR="00912D5C" w:rsidRPr="00912D5C">
        <w:rPr>
          <w:sz w:val="20"/>
          <w:szCs w:val="20"/>
        </w:rPr>
        <w:t xml:space="preserve">The technical operator of pipeline is BP and commercial operator is </w:t>
      </w:r>
      <w:r w:rsidR="00912D5C" w:rsidRPr="007366EE">
        <w:rPr>
          <w:sz w:val="20"/>
          <w:szCs w:val="20"/>
        </w:rPr>
        <w:t>Norway’s</w:t>
      </w:r>
      <w:r w:rsidR="00912D5C" w:rsidRPr="00912D5C">
        <w:rPr>
          <w:sz w:val="20"/>
          <w:szCs w:val="20"/>
        </w:rPr>
        <w:t xml:space="preserve"> Statoil.</w:t>
      </w:r>
      <w:r w:rsidR="00D51C7C" w:rsidRPr="007366EE">
        <w:rPr>
          <w:sz w:val="20"/>
          <w:szCs w:val="20"/>
        </w:rPr>
        <w:t xml:space="preserve"> BP and  Statoil each hold a 25.5 percent stake in the project and serve as co-operators, with the State Oil Company of Azerbaijan Republic (SOCAR), Russia's </w:t>
      </w:r>
      <w:proofErr w:type="spellStart"/>
      <w:r w:rsidR="00D51C7C" w:rsidRPr="007366EE">
        <w:rPr>
          <w:sz w:val="20"/>
          <w:szCs w:val="20"/>
        </w:rPr>
        <w:t>Lukoil</w:t>
      </w:r>
      <w:proofErr w:type="spellEnd"/>
      <w:r w:rsidR="00D51C7C" w:rsidRPr="007366EE">
        <w:rPr>
          <w:sz w:val="20"/>
          <w:szCs w:val="20"/>
        </w:rPr>
        <w:t>, Turkey's TPAO, France's Total, and Iran's NICO holding around 10 percent each.</w:t>
      </w:r>
      <w:r w:rsidR="00912D5C">
        <w:rPr>
          <w:sz w:val="20"/>
          <w:szCs w:val="20"/>
        </w:rPr>
        <w:t xml:space="preserve"> </w:t>
      </w:r>
      <w:r w:rsidR="00912D5C" w:rsidRPr="00912D5C">
        <w:rPr>
          <w:sz w:val="20"/>
          <w:szCs w:val="20"/>
        </w:rPr>
        <w:t xml:space="preserve">The initial capacity of the pipeline is 8.8 billion </w:t>
      </w:r>
      <w:r w:rsidR="00912D5C">
        <w:rPr>
          <w:sz w:val="20"/>
          <w:szCs w:val="20"/>
        </w:rPr>
        <w:t>m</w:t>
      </w:r>
      <w:r w:rsidR="00912D5C">
        <w:rPr>
          <w:sz w:val="20"/>
          <w:szCs w:val="20"/>
          <w:vertAlign w:val="superscript"/>
        </w:rPr>
        <w:t>3</w:t>
      </w:r>
      <w:r w:rsidR="00912D5C" w:rsidRPr="00912D5C">
        <w:rPr>
          <w:sz w:val="20"/>
          <w:szCs w:val="20"/>
        </w:rPr>
        <w:t xml:space="preserve"> of gas per year, and after 2012 its capacity could be expanded to 20 </w:t>
      </w:r>
      <w:r w:rsidR="00912D5C">
        <w:rPr>
          <w:sz w:val="20"/>
          <w:szCs w:val="20"/>
        </w:rPr>
        <w:t>billion m</w:t>
      </w:r>
      <w:r w:rsidR="00912D5C">
        <w:rPr>
          <w:sz w:val="20"/>
          <w:szCs w:val="20"/>
          <w:vertAlign w:val="superscript"/>
        </w:rPr>
        <w:t>3</w:t>
      </w:r>
      <w:r w:rsidR="00912D5C" w:rsidRPr="00912D5C">
        <w:rPr>
          <w:sz w:val="20"/>
          <w:szCs w:val="20"/>
        </w:rPr>
        <w:t xml:space="preserve"> per </w:t>
      </w:r>
      <w:proofErr w:type="spellStart"/>
      <w:r w:rsidR="00912D5C" w:rsidRPr="00912D5C">
        <w:rPr>
          <w:sz w:val="20"/>
          <w:szCs w:val="20"/>
        </w:rPr>
        <w:t>year.The</w:t>
      </w:r>
      <w:proofErr w:type="spellEnd"/>
      <w:r w:rsidR="00912D5C" w:rsidRPr="00912D5C">
        <w:rPr>
          <w:sz w:val="20"/>
          <w:szCs w:val="20"/>
        </w:rPr>
        <w:t xml:space="preserve"> pipeline has a potential of being connected to Turkmen and Kazakh producers through the planned Trans-Caspian Gas Pipeline.</w:t>
      </w:r>
    </w:p>
    <w:p w:rsidR="00D51C7C" w:rsidRDefault="00D51C7C" w:rsidP="00D51C7C">
      <w:pPr>
        <w:spacing w:after="0"/>
        <w:rPr>
          <w:rStyle w:val="csssubheading2"/>
          <w:b/>
          <w:sz w:val="20"/>
          <w:szCs w:val="20"/>
        </w:rPr>
      </w:pPr>
    </w:p>
    <w:p w:rsidR="00D51C7C" w:rsidRPr="00661D1D" w:rsidRDefault="00D51C7C" w:rsidP="00D51C7C">
      <w:pPr>
        <w:spacing w:after="0"/>
        <w:rPr>
          <w:b/>
          <w:sz w:val="20"/>
          <w:szCs w:val="20"/>
        </w:rPr>
      </w:pPr>
      <w:r>
        <w:rPr>
          <w:rStyle w:val="csssubheading2"/>
          <w:b/>
          <w:sz w:val="20"/>
          <w:szCs w:val="20"/>
        </w:rPr>
        <w:t>Turkey-Greece-</w:t>
      </w:r>
      <w:r w:rsidRPr="00661D1D">
        <w:rPr>
          <w:rStyle w:val="csssubheading2"/>
          <w:b/>
          <w:sz w:val="20"/>
          <w:szCs w:val="20"/>
        </w:rPr>
        <w:t>I</w:t>
      </w:r>
      <w:r>
        <w:rPr>
          <w:rStyle w:val="csssubheading2"/>
          <w:b/>
          <w:sz w:val="20"/>
          <w:szCs w:val="20"/>
        </w:rPr>
        <w:t>taly</w:t>
      </w:r>
      <w:r w:rsidRPr="00661D1D">
        <w:rPr>
          <w:rStyle w:val="csssubheading2"/>
          <w:b/>
          <w:sz w:val="20"/>
          <w:szCs w:val="20"/>
        </w:rPr>
        <w:t xml:space="preserve"> </w:t>
      </w:r>
    </w:p>
    <w:p w:rsidR="00D51C7C" w:rsidRPr="007366EE" w:rsidRDefault="00D51C7C" w:rsidP="00D51C7C">
      <w:pPr>
        <w:spacing w:after="0"/>
        <w:rPr>
          <w:sz w:val="20"/>
          <w:szCs w:val="20"/>
        </w:rPr>
      </w:pPr>
      <w:r w:rsidRPr="007366EE">
        <w:rPr>
          <w:sz w:val="20"/>
          <w:szCs w:val="20"/>
        </w:rPr>
        <w:t xml:space="preserve">In July 2005, Turkey and Greece began construction on </w:t>
      </w:r>
      <w:r w:rsidR="009C5A80">
        <w:rPr>
          <w:sz w:val="20"/>
          <w:szCs w:val="20"/>
        </w:rPr>
        <w:t xml:space="preserve">a </w:t>
      </w:r>
      <w:r w:rsidRPr="007366EE">
        <w:rPr>
          <w:sz w:val="20"/>
          <w:szCs w:val="20"/>
        </w:rPr>
        <w:t>pipeline connecting the two countries. Greece has established a natural gas purchase agreement with Azer</w:t>
      </w:r>
      <w:r w:rsidR="00E97D4A">
        <w:rPr>
          <w:sz w:val="20"/>
          <w:szCs w:val="20"/>
        </w:rPr>
        <w:t>baijan, and Azeri natural gas is being</w:t>
      </w:r>
      <w:r w:rsidRPr="007366EE">
        <w:rPr>
          <w:sz w:val="20"/>
          <w:szCs w:val="20"/>
        </w:rPr>
        <w:t xml:space="preserve"> pumped from Bursa in Turkey to </w:t>
      </w:r>
      <w:proofErr w:type="spellStart"/>
      <w:r w:rsidRPr="007366EE">
        <w:rPr>
          <w:sz w:val="20"/>
          <w:szCs w:val="20"/>
        </w:rPr>
        <w:t>Komitini</w:t>
      </w:r>
      <w:proofErr w:type="spellEnd"/>
      <w:r w:rsidRPr="007366EE">
        <w:rPr>
          <w:sz w:val="20"/>
          <w:szCs w:val="20"/>
        </w:rPr>
        <w:t xml:space="preserve"> in Greece.</w:t>
      </w:r>
      <w:r w:rsidR="00E97D4A">
        <w:rPr>
          <w:sz w:val="20"/>
          <w:szCs w:val="20"/>
        </w:rPr>
        <w:t xml:space="preserve"> Right after the SCP started </w:t>
      </w:r>
      <w:r w:rsidR="009C5A80">
        <w:rPr>
          <w:sz w:val="20"/>
          <w:szCs w:val="20"/>
        </w:rPr>
        <w:t>commercial operation, the Turkey-Greece</w:t>
      </w:r>
      <w:r w:rsidR="00E97D4A" w:rsidRPr="00E97D4A">
        <w:rPr>
          <w:sz w:val="20"/>
          <w:szCs w:val="20"/>
        </w:rPr>
        <w:t xml:space="preserve"> pipeline was officially inaugurated on 18 November 2007.</w:t>
      </w:r>
      <w:r w:rsidR="00E97D4A">
        <w:t xml:space="preserve"> </w:t>
      </w:r>
      <w:r w:rsidRPr="007366EE">
        <w:rPr>
          <w:sz w:val="20"/>
          <w:szCs w:val="20"/>
        </w:rPr>
        <w:t>Eventually, the Turkey-Greece Interconnector will be linked to the planned pipeli</w:t>
      </w:r>
      <w:r w:rsidR="009C5A80">
        <w:rPr>
          <w:sz w:val="20"/>
          <w:szCs w:val="20"/>
        </w:rPr>
        <w:t>ne connecting Greece and Italy</w:t>
      </w:r>
      <w:r w:rsidRPr="007366EE">
        <w:rPr>
          <w:sz w:val="20"/>
          <w:szCs w:val="20"/>
        </w:rPr>
        <w:t xml:space="preserve">. </w:t>
      </w:r>
      <w:r w:rsidR="009C5A80" w:rsidRPr="009C5A80">
        <w:rPr>
          <w:sz w:val="20"/>
          <w:szCs w:val="20"/>
        </w:rPr>
        <w:t xml:space="preserve">The intergovernmental agreement for the construction of pipeline was signed on 4 November 2006 in Rome by Italian Minister for Productive Activities Claudio </w:t>
      </w:r>
      <w:proofErr w:type="spellStart"/>
      <w:r w:rsidR="009C5A80" w:rsidRPr="009C5A80">
        <w:rPr>
          <w:sz w:val="20"/>
          <w:szCs w:val="20"/>
        </w:rPr>
        <w:t>Scaiola</w:t>
      </w:r>
      <w:proofErr w:type="spellEnd"/>
      <w:r w:rsidR="009C5A80" w:rsidRPr="009C5A80">
        <w:rPr>
          <w:sz w:val="20"/>
          <w:szCs w:val="20"/>
        </w:rPr>
        <w:t xml:space="preserve"> and Greek Development Minister </w:t>
      </w:r>
      <w:proofErr w:type="spellStart"/>
      <w:r w:rsidR="009C5A80" w:rsidRPr="009C5A80">
        <w:rPr>
          <w:sz w:val="20"/>
          <w:szCs w:val="20"/>
        </w:rPr>
        <w:t>Dimitris</w:t>
      </w:r>
      <w:proofErr w:type="spellEnd"/>
      <w:r w:rsidR="009C5A80" w:rsidRPr="009C5A80">
        <w:rPr>
          <w:sz w:val="20"/>
          <w:szCs w:val="20"/>
        </w:rPr>
        <w:t xml:space="preserve"> </w:t>
      </w:r>
      <w:proofErr w:type="spellStart"/>
      <w:r w:rsidR="009C5A80" w:rsidRPr="009C5A80">
        <w:rPr>
          <w:sz w:val="20"/>
          <w:szCs w:val="20"/>
        </w:rPr>
        <w:t>Sioufas</w:t>
      </w:r>
      <w:proofErr w:type="spellEnd"/>
      <w:r w:rsidR="009C5A80" w:rsidRPr="009C5A80">
        <w:rPr>
          <w:sz w:val="20"/>
          <w:szCs w:val="20"/>
        </w:rPr>
        <w:t xml:space="preserve">. Also Turkish Minister of Energy and Natural Resources </w:t>
      </w:r>
      <w:proofErr w:type="spellStart"/>
      <w:r w:rsidR="009C5A80" w:rsidRPr="009C5A80">
        <w:rPr>
          <w:sz w:val="20"/>
          <w:szCs w:val="20"/>
        </w:rPr>
        <w:t>Hilmi</w:t>
      </w:r>
      <w:proofErr w:type="spellEnd"/>
      <w:r w:rsidR="009C5A80" w:rsidRPr="009C5A80">
        <w:rPr>
          <w:sz w:val="20"/>
          <w:szCs w:val="20"/>
        </w:rPr>
        <w:t xml:space="preserve"> </w:t>
      </w:r>
      <w:proofErr w:type="spellStart"/>
      <w:r w:rsidR="009C5A80" w:rsidRPr="009C5A80">
        <w:rPr>
          <w:sz w:val="20"/>
          <w:szCs w:val="20"/>
        </w:rPr>
        <w:t>Güler</w:t>
      </w:r>
      <w:proofErr w:type="spellEnd"/>
      <w:r w:rsidR="009C5A80" w:rsidRPr="009C5A80">
        <w:rPr>
          <w:sz w:val="20"/>
          <w:szCs w:val="20"/>
        </w:rPr>
        <w:t xml:space="preserve"> was present at the ceremony. On 26 July 2007, the additional protocol on construction was signed in Rome. On 11 June 2008, the project company IGI Poseidon SA was incorporated in Italy.</w:t>
      </w:r>
      <w:r w:rsidR="009C5A80" w:rsidRPr="007366EE">
        <w:rPr>
          <w:sz w:val="20"/>
          <w:szCs w:val="20"/>
        </w:rPr>
        <w:t xml:space="preserve"> </w:t>
      </w:r>
      <w:r w:rsidRPr="007366EE">
        <w:rPr>
          <w:sz w:val="20"/>
          <w:szCs w:val="20"/>
        </w:rPr>
        <w:t xml:space="preserve">Current plans call for a $1.3-billion, </w:t>
      </w:r>
      <w:r w:rsidR="009C5A80">
        <w:rPr>
          <w:sz w:val="20"/>
          <w:szCs w:val="20"/>
        </w:rPr>
        <w:t>800-km</w:t>
      </w:r>
      <w:r w:rsidRPr="007366EE">
        <w:rPr>
          <w:sz w:val="20"/>
          <w:szCs w:val="20"/>
        </w:rPr>
        <w:t xml:space="preserve"> pipeline from northern Greece to southeastern Italy.</w:t>
      </w:r>
      <w:r w:rsidR="009C5A80">
        <w:rPr>
          <w:sz w:val="20"/>
          <w:szCs w:val="20"/>
        </w:rPr>
        <w:t xml:space="preserve"> </w:t>
      </w:r>
      <w:r w:rsidR="007F34DE" w:rsidRPr="007F34DE">
        <w:rPr>
          <w:sz w:val="20"/>
          <w:szCs w:val="20"/>
        </w:rPr>
        <w:t xml:space="preserve">The construction will start in 2009 and the pipeline is expected to become operational in 2012. The offshore section will cost €500 million and the Greek section will cost €600 million. The capacity of pipeline is planned to be 8 billion </w:t>
      </w:r>
      <w:r w:rsidR="007F34DE">
        <w:rPr>
          <w:sz w:val="20"/>
          <w:szCs w:val="20"/>
        </w:rPr>
        <w:t>m</w:t>
      </w:r>
      <w:r w:rsidR="007F34DE">
        <w:rPr>
          <w:sz w:val="20"/>
          <w:szCs w:val="20"/>
          <w:vertAlign w:val="superscript"/>
        </w:rPr>
        <w:t>3</w:t>
      </w:r>
      <w:r w:rsidR="007F34DE" w:rsidRPr="007F34DE">
        <w:rPr>
          <w:sz w:val="20"/>
          <w:szCs w:val="20"/>
        </w:rPr>
        <w:t xml:space="preserve"> of natural gas annually.</w:t>
      </w:r>
    </w:p>
    <w:p w:rsidR="00D51C7C" w:rsidRDefault="00D51C7C" w:rsidP="00CE0266">
      <w:pPr>
        <w:spacing w:after="0"/>
        <w:rPr>
          <w:rStyle w:val="csssubheading1"/>
          <w:b/>
          <w:sz w:val="20"/>
          <w:szCs w:val="20"/>
        </w:rPr>
      </w:pPr>
    </w:p>
    <w:p w:rsidR="00922BFE" w:rsidRPr="00661D1D" w:rsidRDefault="00922BFE" w:rsidP="00CE0266">
      <w:pPr>
        <w:spacing w:after="0"/>
        <w:rPr>
          <w:b/>
          <w:sz w:val="20"/>
          <w:szCs w:val="20"/>
        </w:rPr>
      </w:pPr>
      <w:r w:rsidRPr="00661D1D">
        <w:rPr>
          <w:rStyle w:val="csssubheading2"/>
          <w:b/>
          <w:sz w:val="20"/>
          <w:szCs w:val="20"/>
        </w:rPr>
        <w:t>Possible Projects</w:t>
      </w:r>
      <w:r w:rsidR="009778A6" w:rsidRPr="009778A6">
        <w:rPr>
          <w:rStyle w:val="csssubheading1"/>
          <w:b/>
          <w:sz w:val="20"/>
          <w:szCs w:val="20"/>
        </w:rPr>
        <w:t xml:space="preserve"> </w:t>
      </w:r>
      <w:r w:rsidR="009778A6">
        <w:rPr>
          <w:rStyle w:val="csssubheading1"/>
          <w:b/>
          <w:sz w:val="20"/>
          <w:szCs w:val="20"/>
        </w:rPr>
        <w:t>under Construction and Consideration</w:t>
      </w:r>
    </w:p>
    <w:p w:rsidR="009778A6" w:rsidRDefault="009778A6" w:rsidP="009778A6">
      <w:pPr>
        <w:spacing w:after="0"/>
        <w:rPr>
          <w:sz w:val="20"/>
          <w:szCs w:val="20"/>
        </w:rPr>
      </w:pPr>
      <w:r w:rsidRPr="007366EE">
        <w:rPr>
          <w:sz w:val="20"/>
          <w:szCs w:val="20"/>
        </w:rPr>
        <w:t>On account of various supply interruptions and disputes over Turkish natural gas pipeline links with Russia and Iran, Turkey has looked to other natural gas-rich countries in the region to diversify its import sources. A number of natural gas import projects are either under construction or in various stages of planning.</w:t>
      </w:r>
    </w:p>
    <w:p w:rsidR="009778A6" w:rsidRDefault="009778A6" w:rsidP="009778A6">
      <w:pPr>
        <w:spacing w:after="0"/>
        <w:rPr>
          <w:sz w:val="20"/>
          <w:szCs w:val="20"/>
        </w:rPr>
      </w:pPr>
    </w:p>
    <w:p w:rsidR="005200D0" w:rsidRDefault="005200D0" w:rsidP="00CE0266">
      <w:pPr>
        <w:spacing w:after="0"/>
        <w:rPr>
          <w:b/>
          <w:sz w:val="20"/>
          <w:szCs w:val="20"/>
        </w:rPr>
      </w:pPr>
    </w:p>
    <w:p w:rsidR="009778A6" w:rsidRPr="009778A6" w:rsidRDefault="009778A6" w:rsidP="00CE0266">
      <w:pPr>
        <w:spacing w:after="0"/>
        <w:rPr>
          <w:b/>
          <w:sz w:val="20"/>
          <w:szCs w:val="20"/>
        </w:rPr>
      </w:pPr>
      <w:r w:rsidRPr="009778A6">
        <w:rPr>
          <w:b/>
          <w:sz w:val="20"/>
          <w:szCs w:val="20"/>
        </w:rPr>
        <w:lastRenderedPageBreak/>
        <w:t>Trans-Caspian Gas Pipeline</w:t>
      </w:r>
    </w:p>
    <w:p w:rsidR="009778A6" w:rsidRPr="003906DB" w:rsidRDefault="00FE3BAC" w:rsidP="00CE0266">
      <w:pPr>
        <w:spacing w:after="0"/>
        <w:rPr>
          <w:sz w:val="20"/>
          <w:szCs w:val="20"/>
        </w:rPr>
      </w:pPr>
      <w:r>
        <w:rPr>
          <w:sz w:val="20"/>
          <w:szCs w:val="20"/>
        </w:rPr>
        <w:t>In May 1999, Turkey's BOTAS</w:t>
      </w:r>
      <w:r w:rsidR="00922BFE" w:rsidRPr="007366EE">
        <w:rPr>
          <w:sz w:val="20"/>
          <w:szCs w:val="20"/>
        </w:rPr>
        <w:t xml:space="preserve"> sig</w:t>
      </w:r>
      <w:r w:rsidR="009778A6">
        <w:rPr>
          <w:sz w:val="20"/>
          <w:szCs w:val="20"/>
        </w:rPr>
        <w:t>ned an agreement to build a 1,690-km</w:t>
      </w:r>
      <w:r w:rsidR="00922BFE" w:rsidRPr="007366EE">
        <w:rPr>
          <w:sz w:val="20"/>
          <w:szCs w:val="20"/>
        </w:rPr>
        <w:t xml:space="preserve"> natural gas pipeline from Turkmenistan that would travel underneath the Caspian Sea, across Azerbaija</w:t>
      </w:r>
      <w:r w:rsidR="00ED0601">
        <w:rPr>
          <w:sz w:val="20"/>
          <w:szCs w:val="20"/>
        </w:rPr>
        <w:t>n and Georgia, and on to Turkey</w:t>
      </w:r>
      <w:r w:rsidR="00922BFE" w:rsidRPr="007366EE">
        <w:rPr>
          <w:sz w:val="20"/>
          <w:szCs w:val="20"/>
        </w:rPr>
        <w:t>.</w:t>
      </w:r>
      <w:r w:rsidR="00ED0601">
        <w:rPr>
          <w:sz w:val="20"/>
          <w:szCs w:val="20"/>
        </w:rPr>
        <w:t xml:space="preserve"> </w:t>
      </w:r>
      <w:r w:rsidR="003906DB" w:rsidRPr="003906DB">
        <w:rPr>
          <w:sz w:val="20"/>
          <w:szCs w:val="20"/>
        </w:rPr>
        <w:t>The planned capacity of the pipeline</w:t>
      </w:r>
      <w:r w:rsidR="003906DB">
        <w:rPr>
          <w:sz w:val="20"/>
          <w:szCs w:val="20"/>
        </w:rPr>
        <w:t xml:space="preserve"> is 30 billion m</w:t>
      </w:r>
      <w:r w:rsidR="003906DB">
        <w:rPr>
          <w:sz w:val="20"/>
          <w:szCs w:val="20"/>
          <w:vertAlign w:val="superscript"/>
        </w:rPr>
        <w:t>3</w:t>
      </w:r>
      <w:r w:rsidR="003906DB" w:rsidRPr="003906DB">
        <w:rPr>
          <w:sz w:val="20"/>
          <w:szCs w:val="20"/>
        </w:rPr>
        <w:t xml:space="preserve"> of natural gas per annum, and the estimated cost will be around US$ 5 billion. In Baku it will be connected with the South Caucasus Pipeline (Baku-Tbilisi-Erzurum pipeline), a</w:t>
      </w:r>
      <w:r w:rsidR="003906DB">
        <w:rPr>
          <w:sz w:val="20"/>
          <w:szCs w:val="20"/>
        </w:rPr>
        <w:t>nd through this with the</w:t>
      </w:r>
      <w:r w:rsidR="003906DB" w:rsidRPr="003906DB">
        <w:rPr>
          <w:sz w:val="20"/>
          <w:szCs w:val="20"/>
        </w:rPr>
        <w:t xml:space="preserve"> </w:t>
      </w:r>
      <w:proofErr w:type="spellStart"/>
      <w:r w:rsidR="003906DB" w:rsidRPr="003906DB">
        <w:rPr>
          <w:sz w:val="20"/>
          <w:szCs w:val="20"/>
        </w:rPr>
        <w:t>Nabucco</w:t>
      </w:r>
      <w:proofErr w:type="spellEnd"/>
      <w:r w:rsidR="003906DB" w:rsidRPr="003906DB">
        <w:rPr>
          <w:sz w:val="20"/>
          <w:szCs w:val="20"/>
        </w:rPr>
        <w:t xml:space="preserve"> Pipeline</w:t>
      </w:r>
      <w:r w:rsidR="003906DB">
        <w:rPr>
          <w:sz w:val="20"/>
          <w:szCs w:val="20"/>
        </w:rPr>
        <w:t xml:space="preserve">. </w:t>
      </w:r>
      <w:proofErr w:type="spellStart"/>
      <w:r w:rsidR="003A5C20" w:rsidRPr="003906DB">
        <w:rPr>
          <w:sz w:val="20"/>
          <w:szCs w:val="20"/>
        </w:rPr>
        <w:t>Granherne</w:t>
      </w:r>
      <w:proofErr w:type="spellEnd"/>
      <w:r w:rsidR="003A5C20" w:rsidRPr="003906DB">
        <w:rPr>
          <w:sz w:val="20"/>
          <w:szCs w:val="20"/>
        </w:rPr>
        <w:t xml:space="preserve">, a subsidiary of </w:t>
      </w:r>
      <w:r w:rsidR="003A5C20">
        <w:rPr>
          <w:sz w:val="20"/>
          <w:szCs w:val="20"/>
        </w:rPr>
        <w:t>KBR, has been selected to carry out the f</w:t>
      </w:r>
      <w:r w:rsidR="003906DB" w:rsidRPr="003906DB">
        <w:rPr>
          <w:sz w:val="20"/>
          <w:szCs w:val="20"/>
        </w:rPr>
        <w:t>easibility study of the pipeline.</w:t>
      </w:r>
    </w:p>
    <w:p w:rsidR="009778A6" w:rsidRDefault="009778A6" w:rsidP="00CE0266">
      <w:pPr>
        <w:spacing w:after="0"/>
        <w:rPr>
          <w:sz w:val="20"/>
          <w:szCs w:val="20"/>
        </w:rPr>
      </w:pPr>
    </w:p>
    <w:p w:rsidR="00283F1E" w:rsidRPr="00283F1E" w:rsidRDefault="00283F1E" w:rsidP="00CE0266">
      <w:pPr>
        <w:spacing w:after="0"/>
        <w:rPr>
          <w:b/>
          <w:sz w:val="20"/>
          <w:szCs w:val="20"/>
        </w:rPr>
      </w:pPr>
      <w:r w:rsidRPr="00283F1E">
        <w:rPr>
          <w:b/>
          <w:sz w:val="20"/>
          <w:szCs w:val="20"/>
        </w:rPr>
        <w:t xml:space="preserve">Trans-Arab Pipeline </w:t>
      </w:r>
    </w:p>
    <w:p w:rsidR="004670F2" w:rsidRPr="004670F2" w:rsidRDefault="004670F2" w:rsidP="00CE0266">
      <w:pPr>
        <w:spacing w:after="0"/>
        <w:rPr>
          <w:sz w:val="20"/>
          <w:szCs w:val="20"/>
        </w:rPr>
      </w:pPr>
      <w:r w:rsidRPr="007366EE">
        <w:rPr>
          <w:sz w:val="20"/>
          <w:szCs w:val="20"/>
        </w:rPr>
        <w:t>Turkey and Egypt have long discussed the possibility of Egyptian natural gas exports to Turkey. Mos</w:t>
      </w:r>
      <w:r>
        <w:rPr>
          <w:sz w:val="20"/>
          <w:szCs w:val="20"/>
        </w:rPr>
        <w:t>t recently</w:t>
      </w:r>
      <w:r w:rsidRPr="007366EE">
        <w:rPr>
          <w:sz w:val="20"/>
          <w:szCs w:val="20"/>
        </w:rPr>
        <w:t>, energy ministers from Turkey, Egypt, Jordan, Lebanon, and Syria discussed the possible expansion of the “Trans-Arab Pipeline” to Cyprus and Turkey, and po</w:t>
      </w:r>
      <w:r>
        <w:rPr>
          <w:sz w:val="20"/>
          <w:szCs w:val="20"/>
        </w:rPr>
        <w:t>ssibly onward to Western Europe</w:t>
      </w:r>
      <w:r w:rsidRPr="007366EE">
        <w:rPr>
          <w:sz w:val="20"/>
          <w:szCs w:val="20"/>
        </w:rPr>
        <w:t>.</w:t>
      </w:r>
      <w:r>
        <w:rPr>
          <w:sz w:val="20"/>
          <w:szCs w:val="20"/>
        </w:rPr>
        <w:t xml:space="preserve"> </w:t>
      </w:r>
      <w:r w:rsidRPr="004670F2">
        <w:rPr>
          <w:sz w:val="20"/>
          <w:szCs w:val="20"/>
        </w:rPr>
        <w:t>The pipeline, which currently runs from Egypt through Jordan to Syria, has a</w:t>
      </w:r>
      <w:r w:rsidR="00CB039D">
        <w:rPr>
          <w:sz w:val="20"/>
          <w:szCs w:val="20"/>
        </w:rPr>
        <w:t xml:space="preserve"> capacity of 10 billion m</w:t>
      </w:r>
      <w:r w:rsidR="00CB039D">
        <w:rPr>
          <w:sz w:val="20"/>
          <w:szCs w:val="20"/>
          <w:vertAlign w:val="superscript"/>
        </w:rPr>
        <w:t>3</w:t>
      </w:r>
      <w:r w:rsidR="00CB039D">
        <w:rPr>
          <w:sz w:val="20"/>
          <w:szCs w:val="20"/>
        </w:rPr>
        <w:t xml:space="preserve"> per year, w</w:t>
      </w:r>
      <w:r w:rsidR="00CB039D" w:rsidRPr="00CB039D">
        <w:rPr>
          <w:sz w:val="20"/>
          <w:szCs w:val="20"/>
        </w:rPr>
        <w:t xml:space="preserve">hen </w:t>
      </w:r>
      <w:proofErr w:type="gramStart"/>
      <w:r w:rsidR="00CB039D" w:rsidRPr="00CB039D">
        <w:rPr>
          <w:sz w:val="20"/>
          <w:szCs w:val="20"/>
        </w:rPr>
        <w:t>completed,</w:t>
      </w:r>
      <w:proofErr w:type="gramEnd"/>
      <w:r w:rsidR="00CB039D" w:rsidRPr="00CB039D">
        <w:rPr>
          <w:sz w:val="20"/>
          <w:szCs w:val="20"/>
        </w:rPr>
        <w:t xml:space="preserve"> it will have a total len</w:t>
      </w:r>
      <w:r w:rsidR="00CB039D">
        <w:rPr>
          <w:sz w:val="20"/>
          <w:szCs w:val="20"/>
        </w:rPr>
        <w:t>gth of 1,236 </w:t>
      </w:r>
      <w:proofErr w:type="spellStart"/>
      <w:r w:rsidR="00CB039D">
        <w:rPr>
          <w:sz w:val="20"/>
          <w:szCs w:val="20"/>
        </w:rPr>
        <w:t>kilometres</w:t>
      </w:r>
      <w:proofErr w:type="spellEnd"/>
      <w:r w:rsidR="00CB039D" w:rsidRPr="00CB039D">
        <w:rPr>
          <w:sz w:val="20"/>
          <w:szCs w:val="20"/>
        </w:rPr>
        <w:t xml:space="preserve"> </w:t>
      </w:r>
      <w:r w:rsidR="00F17C5E">
        <w:rPr>
          <w:sz w:val="20"/>
          <w:szCs w:val="20"/>
        </w:rPr>
        <w:t>at a cost of US$1.4</w:t>
      </w:r>
      <w:r w:rsidR="00CB039D" w:rsidRPr="00CB039D">
        <w:rPr>
          <w:sz w:val="20"/>
          <w:szCs w:val="20"/>
        </w:rPr>
        <w:t> billion.</w:t>
      </w:r>
      <w:r w:rsidR="00CB039D" w:rsidRPr="004670F2">
        <w:rPr>
          <w:sz w:val="20"/>
          <w:szCs w:val="20"/>
        </w:rPr>
        <w:t xml:space="preserve"> </w:t>
      </w:r>
      <w:r w:rsidRPr="004670F2">
        <w:rPr>
          <w:sz w:val="20"/>
          <w:szCs w:val="20"/>
        </w:rPr>
        <w:t xml:space="preserve">The pipeline, which will be interconnected with Turkey and Iraq by </w:t>
      </w:r>
      <w:r w:rsidRPr="00CB039D">
        <w:rPr>
          <w:sz w:val="20"/>
          <w:szCs w:val="20"/>
        </w:rPr>
        <w:t xml:space="preserve">2009, will provide a new transport route for gas resources from the </w:t>
      </w:r>
      <w:proofErr w:type="spellStart"/>
      <w:r w:rsidRPr="00CB039D">
        <w:rPr>
          <w:sz w:val="20"/>
          <w:szCs w:val="20"/>
        </w:rPr>
        <w:t>Mashreq</w:t>
      </w:r>
      <w:proofErr w:type="spellEnd"/>
      <w:r w:rsidRPr="00CB039D">
        <w:rPr>
          <w:sz w:val="20"/>
          <w:szCs w:val="20"/>
        </w:rPr>
        <w:t xml:space="preserve"> region to the EU. </w:t>
      </w:r>
      <w:r w:rsidR="00DD4356" w:rsidRPr="00DD4356">
        <w:rPr>
          <w:sz w:val="20"/>
          <w:szCs w:val="20"/>
        </w:rPr>
        <w:t xml:space="preserve">In March 2006, Egypt, Syria, Jordan, Turkey, Lebanon and Romania reached an agreement to build the pipeline's extension through Syria to the Turkish border. From there, the pipeline will be connected to the planned </w:t>
      </w:r>
      <w:proofErr w:type="spellStart"/>
      <w:r w:rsidR="00DD4356" w:rsidRPr="00DD4356">
        <w:rPr>
          <w:sz w:val="20"/>
          <w:szCs w:val="20"/>
        </w:rPr>
        <w:t>Nabucco</w:t>
      </w:r>
      <w:proofErr w:type="spellEnd"/>
      <w:r w:rsidR="00DD4356" w:rsidRPr="00DD4356">
        <w:rPr>
          <w:sz w:val="20"/>
          <w:szCs w:val="20"/>
        </w:rPr>
        <w:t xml:space="preserve"> Pipeline for the delivery of gas to Europe. Turkey expects to buy 2-4 </w:t>
      </w:r>
      <w:proofErr w:type="spellStart"/>
      <w:r w:rsidR="00DD4356" w:rsidRPr="00DD4356">
        <w:rPr>
          <w:sz w:val="20"/>
          <w:szCs w:val="20"/>
        </w:rPr>
        <w:t>bcm</w:t>
      </w:r>
      <w:proofErr w:type="spellEnd"/>
      <w:r w:rsidR="00DD4356" w:rsidRPr="00DD4356">
        <w:rPr>
          <w:sz w:val="20"/>
          <w:szCs w:val="20"/>
        </w:rPr>
        <w:t xml:space="preserve"> of gas annually by the Arab Gas Pipeline.</w:t>
      </w:r>
      <w:r w:rsidR="00DD4356" w:rsidRPr="00DD4356">
        <w:rPr>
          <w:sz w:val="20"/>
          <w:szCs w:val="20"/>
          <w:vertAlign w:val="superscript"/>
        </w:rPr>
        <w:t xml:space="preserve"> </w:t>
      </w:r>
      <w:r w:rsidR="00DD4356" w:rsidRPr="00DD4356">
        <w:rPr>
          <w:sz w:val="20"/>
          <w:szCs w:val="20"/>
        </w:rPr>
        <w:t xml:space="preserve">On 4 January 2008, Turkey and Syria signed an agreement to construct a 63 kilometers pipeline between Aleppo and </w:t>
      </w:r>
      <w:proofErr w:type="spellStart"/>
      <w:r w:rsidR="00DD4356" w:rsidRPr="00DD4356">
        <w:rPr>
          <w:sz w:val="20"/>
          <w:szCs w:val="20"/>
        </w:rPr>
        <w:t>Kilis</w:t>
      </w:r>
      <w:proofErr w:type="spellEnd"/>
      <w:r w:rsidR="00DD4356" w:rsidRPr="00DD4356">
        <w:rPr>
          <w:sz w:val="20"/>
          <w:szCs w:val="20"/>
        </w:rPr>
        <w:t xml:space="preserve"> connecting Arab Gas pipeline with the Turkish grid. The connection is expected to be ready by 2011.</w:t>
      </w:r>
      <w:r w:rsidR="00DD4356">
        <w:rPr>
          <w:sz w:val="20"/>
          <w:szCs w:val="20"/>
        </w:rPr>
        <w:t xml:space="preserve"> </w:t>
      </w:r>
      <w:r w:rsidR="00F17C5E">
        <w:rPr>
          <w:sz w:val="20"/>
          <w:szCs w:val="20"/>
        </w:rPr>
        <w:t xml:space="preserve">Recently, </w:t>
      </w:r>
      <w:r w:rsidR="00CB039D" w:rsidRPr="00CB039D">
        <w:rPr>
          <w:sz w:val="20"/>
          <w:szCs w:val="20"/>
        </w:rPr>
        <w:t xml:space="preserve">EU Energy Commissioner </w:t>
      </w:r>
      <w:proofErr w:type="spellStart"/>
      <w:r w:rsidR="00CB039D" w:rsidRPr="00CB039D">
        <w:rPr>
          <w:sz w:val="20"/>
          <w:szCs w:val="20"/>
        </w:rPr>
        <w:t>Andris</w:t>
      </w:r>
      <w:proofErr w:type="spellEnd"/>
      <w:r w:rsidR="00CB039D" w:rsidRPr="00CB039D">
        <w:rPr>
          <w:sz w:val="20"/>
          <w:szCs w:val="20"/>
        </w:rPr>
        <w:t xml:space="preserve"> </w:t>
      </w:r>
      <w:proofErr w:type="spellStart"/>
      <w:r w:rsidR="00CB039D" w:rsidRPr="00CB039D">
        <w:rPr>
          <w:sz w:val="20"/>
          <w:szCs w:val="20"/>
        </w:rPr>
        <w:t>Piebalgs</w:t>
      </w:r>
      <w:proofErr w:type="spellEnd"/>
      <w:r w:rsidR="00CB039D" w:rsidRPr="00CB039D">
        <w:rPr>
          <w:sz w:val="20"/>
          <w:szCs w:val="20"/>
        </w:rPr>
        <w:t xml:space="preserve"> and External Relations Commissioner Benita </w:t>
      </w:r>
      <w:proofErr w:type="spellStart"/>
      <w:r w:rsidR="00CB039D" w:rsidRPr="00CB039D">
        <w:rPr>
          <w:sz w:val="20"/>
          <w:szCs w:val="20"/>
        </w:rPr>
        <w:t>Ferrero-Waldner</w:t>
      </w:r>
      <w:proofErr w:type="spellEnd"/>
      <w:r w:rsidR="00CB039D" w:rsidRPr="00CB039D">
        <w:rPr>
          <w:sz w:val="20"/>
          <w:szCs w:val="20"/>
        </w:rPr>
        <w:t xml:space="preserve"> met representatives of the </w:t>
      </w:r>
      <w:proofErr w:type="spellStart"/>
      <w:r w:rsidR="00CB039D" w:rsidRPr="00CB039D">
        <w:rPr>
          <w:sz w:val="20"/>
          <w:szCs w:val="20"/>
        </w:rPr>
        <w:t>Mashreq</w:t>
      </w:r>
      <w:proofErr w:type="spellEnd"/>
      <w:r w:rsidR="00CB039D" w:rsidRPr="00CB039D">
        <w:rPr>
          <w:sz w:val="20"/>
          <w:szCs w:val="20"/>
        </w:rPr>
        <w:t xml:space="preserve"> countries (Egypt, Jordan, Lebanon and Syria), Iraq and Turkey on May 5</w:t>
      </w:r>
      <w:r w:rsidR="00CB039D">
        <w:rPr>
          <w:sz w:val="20"/>
          <w:szCs w:val="20"/>
        </w:rPr>
        <w:t>, 2008</w:t>
      </w:r>
      <w:r w:rsidR="00CB039D" w:rsidRPr="00CB039D">
        <w:rPr>
          <w:sz w:val="20"/>
          <w:szCs w:val="20"/>
        </w:rPr>
        <w:t xml:space="preserve"> in Brussels to discuss the finalization of the Trans-Arab gas pipeline, promote its role as a future supplier of the EU backed </w:t>
      </w:r>
      <w:proofErr w:type="spellStart"/>
      <w:r w:rsidR="00CB039D" w:rsidRPr="00CB039D">
        <w:rPr>
          <w:sz w:val="20"/>
          <w:szCs w:val="20"/>
        </w:rPr>
        <w:t>Nabucco</w:t>
      </w:r>
      <w:proofErr w:type="spellEnd"/>
      <w:r w:rsidR="00CB039D" w:rsidRPr="00CB039D">
        <w:rPr>
          <w:sz w:val="20"/>
          <w:szCs w:val="20"/>
        </w:rPr>
        <w:t xml:space="preserve"> project and encourage the full participation of Iraq in regional energy activities, including as a partner in the Trans-Arab project.</w:t>
      </w:r>
      <w:r w:rsidR="00CB039D">
        <w:rPr>
          <w:sz w:val="20"/>
          <w:szCs w:val="20"/>
        </w:rPr>
        <w:t xml:space="preserve"> The </w:t>
      </w:r>
      <w:proofErr w:type="gramStart"/>
      <w:r w:rsidR="00CB039D">
        <w:rPr>
          <w:sz w:val="20"/>
          <w:szCs w:val="20"/>
        </w:rPr>
        <w:t>projects is</w:t>
      </w:r>
      <w:proofErr w:type="gramEnd"/>
      <w:r w:rsidR="00CB039D">
        <w:rPr>
          <w:sz w:val="20"/>
          <w:szCs w:val="20"/>
        </w:rPr>
        <w:t xml:space="preserve"> expected to be finalized by the end of 2008.</w:t>
      </w:r>
    </w:p>
    <w:p w:rsidR="004670F2" w:rsidRDefault="004670F2" w:rsidP="00CE0266">
      <w:pPr>
        <w:spacing w:after="0"/>
        <w:rPr>
          <w:sz w:val="20"/>
          <w:szCs w:val="20"/>
        </w:rPr>
      </w:pPr>
    </w:p>
    <w:p w:rsidR="007608AE" w:rsidRPr="007608AE" w:rsidRDefault="007608AE" w:rsidP="00CE0266">
      <w:pPr>
        <w:spacing w:after="0"/>
        <w:rPr>
          <w:b/>
          <w:sz w:val="20"/>
          <w:szCs w:val="20"/>
        </w:rPr>
      </w:pPr>
      <w:proofErr w:type="spellStart"/>
      <w:r w:rsidRPr="007608AE">
        <w:rPr>
          <w:b/>
          <w:sz w:val="20"/>
          <w:szCs w:val="20"/>
        </w:rPr>
        <w:t>Nabucco</w:t>
      </w:r>
      <w:proofErr w:type="spellEnd"/>
    </w:p>
    <w:p w:rsidR="00661D1D" w:rsidRDefault="00922BFE" w:rsidP="00CE0266">
      <w:pPr>
        <w:spacing w:after="0"/>
        <w:rPr>
          <w:sz w:val="20"/>
          <w:szCs w:val="20"/>
        </w:rPr>
      </w:pPr>
      <w:r w:rsidRPr="007366EE">
        <w:rPr>
          <w:sz w:val="20"/>
          <w:szCs w:val="20"/>
        </w:rPr>
        <w:t>Another possible project that seeks to deliver natural gas across Turkey to European markets is the “</w:t>
      </w:r>
      <w:proofErr w:type="spellStart"/>
      <w:r w:rsidRPr="007366EE">
        <w:rPr>
          <w:sz w:val="20"/>
          <w:szCs w:val="20"/>
        </w:rPr>
        <w:t>Nabucco</w:t>
      </w:r>
      <w:proofErr w:type="spellEnd"/>
      <w:r w:rsidRPr="007366EE">
        <w:rPr>
          <w:sz w:val="20"/>
          <w:szCs w:val="20"/>
        </w:rPr>
        <w:t xml:space="preserve">” project, which would </w:t>
      </w:r>
      <w:r w:rsidR="005520B6">
        <w:rPr>
          <w:sz w:val="20"/>
          <w:szCs w:val="20"/>
        </w:rPr>
        <w:t>connect</w:t>
      </w:r>
      <w:r w:rsidR="005520B6" w:rsidRPr="007366EE">
        <w:rPr>
          <w:sz w:val="20"/>
          <w:szCs w:val="20"/>
        </w:rPr>
        <w:t xml:space="preserve"> the Caspian region, Middle East and Egypt via </w:t>
      </w:r>
      <w:r w:rsidR="005520B6">
        <w:rPr>
          <w:sz w:val="20"/>
          <w:szCs w:val="20"/>
        </w:rPr>
        <w:t>Turkey</w:t>
      </w:r>
      <w:r w:rsidR="005520B6" w:rsidRPr="007366EE">
        <w:rPr>
          <w:sz w:val="20"/>
          <w:szCs w:val="20"/>
        </w:rPr>
        <w:t>, Bulgaria, Romania, Hungary with Austria and further on with the Central and Western European gas markets</w:t>
      </w:r>
      <w:r w:rsidR="005520B6">
        <w:rPr>
          <w:sz w:val="20"/>
          <w:szCs w:val="20"/>
        </w:rPr>
        <w:t xml:space="preserve">. </w:t>
      </w:r>
      <w:r w:rsidRPr="007366EE">
        <w:rPr>
          <w:sz w:val="20"/>
          <w:szCs w:val="20"/>
        </w:rPr>
        <w:t xml:space="preserve"> </w:t>
      </w:r>
    </w:p>
    <w:p w:rsidR="007608AE" w:rsidRPr="007366EE" w:rsidRDefault="004A6E7F" w:rsidP="007608AE">
      <w:pPr>
        <w:autoSpaceDE w:val="0"/>
        <w:autoSpaceDN w:val="0"/>
        <w:adjustRightInd w:val="0"/>
        <w:spacing w:after="0"/>
        <w:jc w:val="center"/>
        <w:rPr>
          <w:rFonts w:cs="CenturyGothic"/>
          <w:sz w:val="20"/>
          <w:szCs w:val="20"/>
          <w:lang w:eastAsia="tr-TR"/>
        </w:rPr>
      </w:pPr>
      <w:r>
        <w:rPr>
          <w:rFonts w:cs="CenturyGothic"/>
          <w:noProof/>
          <w:sz w:val="20"/>
          <w:szCs w:val="20"/>
        </w:rPr>
        <w:drawing>
          <wp:inline distT="0" distB="0" distL="0" distR="0">
            <wp:extent cx="4257675" cy="2299644"/>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258941" cy="2300328"/>
                    </a:xfrm>
                    <a:prstGeom prst="rect">
                      <a:avLst/>
                    </a:prstGeom>
                    <a:noFill/>
                    <a:ln w="9525">
                      <a:noFill/>
                      <a:miter lim="800000"/>
                      <a:headEnd/>
                      <a:tailEnd/>
                    </a:ln>
                  </pic:spPr>
                </pic:pic>
              </a:graphicData>
            </a:graphic>
          </wp:inline>
        </w:drawing>
      </w:r>
    </w:p>
    <w:p w:rsidR="00D90D73" w:rsidRDefault="007608AE" w:rsidP="00D90D73">
      <w:pPr>
        <w:pStyle w:val="NormalWeb"/>
        <w:rPr>
          <w:rFonts w:ascii="Calibri" w:hAnsi="Calibri"/>
          <w:sz w:val="20"/>
          <w:szCs w:val="20"/>
        </w:rPr>
      </w:pPr>
      <w:r w:rsidRPr="007366EE">
        <w:rPr>
          <w:rFonts w:ascii="Calibri" w:hAnsi="Calibri"/>
          <w:sz w:val="20"/>
          <w:szCs w:val="20"/>
        </w:rPr>
        <w:t xml:space="preserve">The pipeline length is approximately 3,300 km, starting at the Georgian/Turkish and/or Iranian/Turkish border respectively, leading to </w:t>
      </w:r>
      <w:proofErr w:type="spellStart"/>
      <w:r w:rsidRPr="007366EE">
        <w:rPr>
          <w:rFonts w:ascii="Calibri" w:hAnsi="Calibri"/>
          <w:sz w:val="20"/>
          <w:szCs w:val="20"/>
        </w:rPr>
        <w:t>Baumgarten</w:t>
      </w:r>
      <w:proofErr w:type="spellEnd"/>
      <w:r w:rsidRPr="007366EE">
        <w:rPr>
          <w:rFonts w:ascii="Calibri" w:hAnsi="Calibri"/>
          <w:sz w:val="20"/>
          <w:szCs w:val="20"/>
        </w:rPr>
        <w:t xml:space="preserve"> in Austria.</w:t>
      </w:r>
      <w:r>
        <w:rPr>
          <w:rFonts w:ascii="Calibri" w:hAnsi="Calibri"/>
          <w:sz w:val="20"/>
          <w:szCs w:val="20"/>
        </w:rPr>
        <w:t xml:space="preserve"> </w:t>
      </w:r>
      <w:r w:rsidRPr="007366EE">
        <w:rPr>
          <w:rFonts w:ascii="Calibri" w:hAnsi="Calibri"/>
          <w:sz w:val="20"/>
          <w:szCs w:val="20"/>
        </w:rPr>
        <w:t xml:space="preserve">In this respect it has to be taken into account that a reasonable amount of the gas volumes, reaching </w:t>
      </w:r>
      <w:proofErr w:type="spellStart"/>
      <w:r w:rsidRPr="007366EE">
        <w:rPr>
          <w:rFonts w:ascii="Calibri" w:hAnsi="Calibri"/>
          <w:sz w:val="20"/>
          <w:szCs w:val="20"/>
        </w:rPr>
        <w:t>Baumgarten</w:t>
      </w:r>
      <w:proofErr w:type="spellEnd"/>
      <w:r w:rsidRPr="007366EE">
        <w:rPr>
          <w:rFonts w:ascii="Calibri" w:hAnsi="Calibri"/>
          <w:sz w:val="20"/>
          <w:szCs w:val="20"/>
        </w:rPr>
        <w:t>, have to be further transported through Austria to the Central and Western European Countries.</w:t>
      </w:r>
      <w:r>
        <w:rPr>
          <w:rFonts w:ascii="Calibri" w:hAnsi="Calibri"/>
          <w:sz w:val="20"/>
          <w:szCs w:val="20"/>
        </w:rPr>
        <w:t xml:space="preserve"> </w:t>
      </w:r>
      <w:r w:rsidRPr="007366EE">
        <w:rPr>
          <w:rFonts w:ascii="Calibri" w:hAnsi="Calibri"/>
          <w:sz w:val="20"/>
          <w:szCs w:val="20"/>
        </w:rPr>
        <w:t>According to market studies the pipeline has been designed to transport a ma</w:t>
      </w:r>
      <w:r w:rsidR="00DD4356">
        <w:rPr>
          <w:rFonts w:ascii="Calibri" w:hAnsi="Calibri"/>
          <w:sz w:val="20"/>
          <w:szCs w:val="20"/>
        </w:rPr>
        <w:t xml:space="preserve">ximum amount </w:t>
      </w:r>
      <w:proofErr w:type="gramStart"/>
      <w:r w:rsidR="00DD4356">
        <w:rPr>
          <w:rFonts w:ascii="Calibri" w:hAnsi="Calibri"/>
          <w:sz w:val="20"/>
          <w:szCs w:val="20"/>
        </w:rPr>
        <w:t>of 31 billion m</w:t>
      </w:r>
      <w:r w:rsidR="00DD4356">
        <w:rPr>
          <w:rFonts w:ascii="Calibri" w:hAnsi="Calibri"/>
          <w:sz w:val="20"/>
          <w:szCs w:val="20"/>
          <w:vertAlign w:val="superscript"/>
        </w:rPr>
        <w:t>3</w:t>
      </w:r>
      <w:r w:rsidRPr="007366EE">
        <w:rPr>
          <w:rFonts w:ascii="Calibri" w:hAnsi="Calibri"/>
          <w:sz w:val="20"/>
          <w:szCs w:val="20"/>
        </w:rPr>
        <w:t>/y</w:t>
      </w:r>
      <w:proofErr w:type="gramEnd"/>
      <w:r w:rsidRPr="007366EE">
        <w:rPr>
          <w:rFonts w:ascii="Calibri" w:hAnsi="Calibri"/>
          <w:sz w:val="20"/>
          <w:szCs w:val="20"/>
        </w:rPr>
        <w:t>.</w:t>
      </w:r>
      <w:r>
        <w:rPr>
          <w:rFonts w:ascii="Calibri" w:hAnsi="Calibri"/>
          <w:sz w:val="20"/>
          <w:szCs w:val="20"/>
        </w:rPr>
        <w:t xml:space="preserve"> </w:t>
      </w:r>
      <w:r w:rsidR="0017633D">
        <w:rPr>
          <w:rFonts w:ascii="Calibri" w:hAnsi="Calibri"/>
          <w:sz w:val="20"/>
          <w:szCs w:val="20"/>
        </w:rPr>
        <w:t xml:space="preserve">The </w:t>
      </w:r>
      <w:r w:rsidR="0017633D" w:rsidRPr="007366EE">
        <w:rPr>
          <w:rFonts w:ascii="Calibri" w:hAnsi="Calibri"/>
          <w:sz w:val="20"/>
          <w:szCs w:val="20"/>
        </w:rPr>
        <w:t>estimated</w:t>
      </w:r>
      <w:r w:rsidRPr="007366EE">
        <w:rPr>
          <w:rFonts w:ascii="Calibri" w:hAnsi="Calibri"/>
          <w:sz w:val="20"/>
          <w:szCs w:val="20"/>
        </w:rPr>
        <w:t xml:space="preserve"> investment costs including financing costs for a complete new pipeline system amount to approximately </w:t>
      </w:r>
      <w:r w:rsidR="00DD4356">
        <w:rPr>
          <w:rFonts w:ascii="Calibri" w:hAnsi="Calibri"/>
          <w:sz w:val="20"/>
          <w:szCs w:val="20"/>
        </w:rPr>
        <w:t xml:space="preserve">€ </w:t>
      </w:r>
      <w:r w:rsidRPr="007366EE">
        <w:rPr>
          <w:rFonts w:ascii="Calibri" w:hAnsi="Calibri"/>
          <w:sz w:val="20"/>
          <w:szCs w:val="20"/>
        </w:rPr>
        <w:t>7.9 billion.</w:t>
      </w:r>
      <w:r w:rsidR="00D90D73">
        <w:rPr>
          <w:rFonts w:ascii="Calibri" w:hAnsi="Calibri"/>
          <w:sz w:val="20"/>
          <w:szCs w:val="20"/>
        </w:rPr>
        <w:t xml:space="preserve"> </w:t>
      </w:r>
    </w:p>
    <w:p w:rsidR="00D90D73" w:rsidRPr="00D90D73" w:rsidRDefault="00D90D73" w:rsidP="00D90D73">
      <w:pPr>
        <w:pStyle w:val="NormalWeb"/>
        <w:rPr>
          <w:rFonts w:asciiTheme="minorHAnsi" w:hAnsiTheme="minorHAnsi"/>
          <w:sz w:val="20"/>
          <w:szCs w:val="20"/>
        </w:rPr>
      </w:pPr>
      <w:r w:rsidRPr="00D90D73">
        <w:rPr>
          <w:rFonts w:asciiTheme="minorHAnsi" w:hAnsiTheme="minorHAnsi"/>
          <w:sz w:val="20"/>
          <w:szCs w:val="20"/>
        </w:rPr>
        <w:lastRenderedPageBreak/>
        <w:t xml:space="preserve">The </w:t>
      </w:r>
      <w:proofErr w:type="spellStart"/>
      <w:r w:rsidRPr="00D90D73">
        <w:rPr>
          <w:rFonts w:asciiTheme="minorHAnsi" w:hAnsiTheme="minorHAnsi"/>
          <w:sz w:val="20"/>
          <w:szCs w:val="20"/>
        </w:rPr>
        <w:t>Nabucco</w:t>
      </w:r>
      <w:proofErr w:type="spellEnd"/>
      <w:r w:rsidRPr="00D90D73">
        <w:rPr>
          <w:rFonts w:asciiTheme="minorHAnsi" w:hAnsiTheme="minorHAnsi"/>
          <w:sz w:val="20"/>
          <w:szCs w:val="20"/>
        </w:rPr>
        <w:t xml:space="preserve"> project is included in the </w:t>
      </w:r>
      <w:r w:rsidRPr="00793A0F">
        <w:rPr>
          <w:rFonts w:asciiTheme="minorHAnsi" w:hAnsiTheme="minorHAnsi"/>
          <w:sz w:val="20"/>
          <w:szCs w:val="20"/>
        </w:rPr>
        <w:t>EU</w:t>
      </w:r>
      <w:r w:rsidRPr="00D90D73">
        <w:rPr>
          <w:rFonts w:asciiTheme="minorHAnsi" w:hAnsiTheme="minorHAnsi"/>
          <w:sz w:val="20"/>
          <w:szCs w:val="20"/>
        </w:rPr>
        <w:t xml:space="preserve"> </w:t>
      </w:r>
      <w:r w:rsidRPr="00793A0F">
        <w:rPr>
          <w:rFonts w:asciiTheme="minorHAnsi" w:hAnsiTheme="minorHAnsi"/>
          <w:sz w:val="20"/>
          <w:szCs w:val="20"/>
        </w:rPr>
        <w:t>Trans-European Energy Network</w:t>
      </w:r>
      <w:r w:rsidRPr="00D90D73">
        <w:rPr>
          <w:rFonts w:asciiTheme="minorHAnsi" w:hAnsiTheme="minorHAnsi"/>
          <w:sz w:val="20"/>
          <w:szCs w:val="20"/>
        </w:rPr>
        <w:t xml:space="preserve"> programme and a feasibility study for the </w:t>
      </w:r>
      <w:proofErr w:type="spellStart"/>
      <w:r w:rsidRPr="00D90D73">
        <w:rPr>
          <w:rFonts w:asciiTheme="minorHAnsi" w:hAnsiTheme="minorHAnsi"/>
          <w:sz w:val="20"/>
          <w:szCs w:val="20"/>
        </w:rPr>
        <w:t>Nabucco</w:t>
      </w:r>
      <w:proofErr w:type="spellEnd"/>
      <w:r w:rsidRPr="00D90D73">
        <w:rPr>
          <w:rFonts w:asciiTheme="minorHAnsi" w:hAnsiTheme="minorHAnsi"/>
          <w:sz w:val="20"/>
          <w:szCs w:val="20"/>
        </w:rPr>
        <w:t xml:space="preserve"> pipeline has been performed under an EU project </w:t>
      </w:r>
      <w:proofErr w:type="spellStart"/>
      <w:r w:rsidRPr="00D90D73">
        <w:rPr>
          <w:rFonts w:asciiTheme="minorHAnsi" w:hAnsiTheme="minorHAnsi"/>
          <w:sz w:val="20"/>
          <w:szCs w:val="20"/>
        </w:rPr>
        <w:t>grant.The</w:t>
      </w:r>
      <w:proofErr w:type="spellEnd"/>
      <w:r w:rsidRPr="00D90D73">
        <w:rPr>
          <w:rFonts w:asciiTheme="minorHAnsi" w:hAnsiTheme="minorHAnsi"/>
          <w:sz w:val="20"/>
          <w:szCs w:val="20"/>
        </w:rPr>
        <w:t xml:space="preserve"> FEED services of the pipeline, including the overall management of the local FEED contractors, the review of the technical feasibility study, route confirmation, preparation of the design basis, hydraulic studies, overall SCADA and telecommunications, GIS and preparation of tender packages for the next phase, is managed by UK-based consultancy </w:t>
      </w:r>
      <w:proofErr w:type="spellStart"/>
      <w:r w:rsidRPr="00D90D73">
        <w:rPr>
          <w:rFonts w:asciiTheme="minorHAnsi" w:hAnsiTheme="minorHAnsi"/>
          <w:sz w:val="20"/>
          <w:szCs w:val="20"/>
        </w:rPr>
        <w:t>Penspen</w:t>
      </w:r>
      <w:proofErr w:type="spellEnd"/>
      <w:r w:rsidRPr="00D90D73">
        <w:rPr>
          <w:rFonts w:asciiTheme="minorHAnsi" w:hAnsiTheme="minorHAnsi"/>
          <w:sz w:val="20"/>
          <w:szCs w:val="20"/>
        </w:rPr>
        <w:t>.</w:t>
      </w:r>
      <w:r w:rsidR="00793A0F">
        <w:rPr>
          <w:rFonts w:asciiTheme="minorHAnsi" w:hAnsiTheme="minorHAnsi"/>
          <w:sz w:val="20"/>
          <w:szCs w:val="20"/>
        </w:rPr>
        <w:t xml:space="preserve"> </w:t>
      </w:r>
      <w:r w:rsidRPr="00D90D73">
        <w:rPr>
          <w:rFonts w:asciiTheme="minorHAnsi" w:hAnsiTheme="minorHAnsi"/>
          <w:sz w:val="20"/>
          <w:szCs w:val="20"/>
        </w:rPr>
        <w:t xml:space="preserve">Construction of pipeline is expected to begin in 2010 and is planned to be finished in 2013.The company leading the project is </w:t>
      </w:r>
      <w:r w:rsidRPr="00793A0F">
        <w:rPr>
          <w:rFonts w:asciiTheme="minorHAnsi" w:hAnsiTheme="minorHAnsi"/>
          <w:sz w:val="20"/>
          <w:szCs w:val="20"/>
        </w:rPr>
        <w:t>OMV</w:t>
      </w:r>
      <w:r w:rsidRPr="00D90D73">
        <w:rPr>
          <w:rFonts w:asciiTheme="minorHAnsi" w:hAnsiTheme="minorHAnsi"/>
          <w:sz w:val="20"/>
          <w:szCs w:val="20"/>
        </w:rPr>
        <w:t xml:space="preserve"> from Austria.</w:t>
      </w:r>
    </w:p>
    <w:p w:rsidR="00922BFE" w:rsidRPr="00661D1D" w:rsidRDefault="00922BFE" w:rsidP="004A6E7F">
      <w:pPr>
        <w:spacing w:after="0"/>
        <w:jc w:val="center"/>
        <w:rPr>
          <w:b/>
          <w:sz w:val="20"/>
          <w:szCs w:val="20"/>
        </w:rPr>
      </w:pPr>
      <w:r w:rsidRPr="00661D1D">
        <w:rPr>
          <w:rStyle w:val="csssubheading1"/>
          <w:b/>
          <w:sz w:val="20"/>
          <w:szCs w:val="20"/>
        </w:rPr>
        <w:t>Liquefied Natural Gas</w:t>
      </w:r>
      <w:r w:rsidR="009E7792">
        <w:rPr>
          <w:rStyle w:val="csssubheading1"/>
          <w:b/>
          <w:sz w:val="20"/>
          <w:szCs w:val="20"/>
        </w:rPr>
        <w:t xml:space="preserve"> (LNG)</w:t>
      </w:r>
    </w:p>
    <w:p w:rsidR="00922BFE" w:rsidRPr="007366EE" w:rsidRDefault="00922BFE" w:rsidP="00CE0266">
      <w:pPr>
        <w:spacing w:after="0"/>
        <w:rPr>
          <w:sz w:val="20"/>
          <w:szCs w:val="20"/>
        </w:rPr>
      </w:pPr>
      <w:r w:rsidRPr="007366EE">
        <w:rPr>
          <w:sz w:val="20"/>
          <w:szCs w:val="20"/>
        </w:rPr>
        <w:t>Turkey impo</w:t>
      </w:r>
      <w:r w:rsidR="009E7792">
        <w:rPr>
          <w:sz w:val="20"/>
          <w:szCs w:val="20"/>
        </w:rPr>
        <w:t xml:space="preserve">rts liquefied natural gas </w:t>
      </w:r>
      <w:r w:rsidRPr="007366EE">
        <w:rPr>
          <w:sz w:val="20"/>
          <w:szCs w:val="20"/>
        </w:rPr>
        <w:t xml:space="preserve">from Algeria and Nigeria at its only LNG import terminal at Marmara </w:t>
      </w:r>
      <w:proofErr w:type="spellStart"/>
      <w:r w:rsidRPr="007366EE">
        <w:rPr>
          <w:sz w:val="20"/>
          <w:szCs w:val="20"/>
        </w:rPr>
        <w:t>Ereglisi</w:t>
      </w:r>
      <w:proofErr w:type="spellEnd"/>
      <w:r w:rsidRPr="007366EE">
        <w:rPr>
          <w:sz w:val="20"/>
          <w:szCs w:val="20"/>
        </w:rPr>
        <w:t>, near Istanbul. The LNG terminal and regasi</w:t>
      </w:r>
      <w:r w:rsidR="0035764B">
        <w:rPr>
          <w:sz w:val="20"/>
          <w:szCs w:val="20"/>
        </w:rPr>
        <w:t>fication plant are owned by BOTAS</w:t>
      </w:r>
      <w:r w:rsidRPr="007366EE">
        <w:rPr>
          <w:sz w:val="20"/>
          <w:szCs w:val="20"/>
        </w:rPr>
        <w:t>, and have been in operation since 1</w:t>
      </w:r>
      <w:r w:rsidR="009E7792">
        <w:rPr>
          <w:sz w:val="20"/>
          <w:szCs w:val="20"/>
        </w:rPr>
        <w:t>994</w:t>
      </w:r>
      <w:r w:rsidRPr="007366EE">
        <w:rPr>
          <w:sz w:val="20"/>
          <w:szCs w:val="20"/>
        </w:rPr>
        <w:t>. B</w:t>
      </w:r>
      <w:r w:rsidR="009E7792">
        <w:rPr>
          <w:sz w:val="20"/>
          <w:szCs w:val="20"/>
        </w:rPr>
        <w:t>OTAS</w:t>
      </w:r>
      <w:r w:rsidRPr="007366EE">
        <w:rPr>
          <w:sz w:val="20"/>
          <w:szCs w:val="20"/>
        </w:rPr>
        <w:t xml:space="preserve"> has considered building as many as three additional LNG facilities in T</w:t>
      </w:r>
      <w:r w:rsidR="009E7792">
        <w:rPr>
          <w:sz w:val="20"/>
          <w:szCs w:val="20"/>
        </w:rPr>
        <w:t>urkey. One proposal is for a 6- billion m</w:t>
      </w:r>
      <w:r w:rsidR="009E7792">
        <w:rPr>
          <w:sz w:val="20"/>
          <w:szCs w:val="20"/>
          <w:vertAlign w:val="superscript"/>
        </w:rPr>
        <w:t>3</w:t>
      </w:r>
      <w:r w:rsidRPr="007366EE">
        <w:rPr>
          <w:sz w:val="20"/>
          <w:szCs w:val="20"/>
        </w:rPr>
        <w:t>/y LNG import terminal near Izmir for the import of LNG from Egypt. However, LNG plans have been stalled while other natural gas import p</w:t>
      </w:r>
      <w:r w:rsidR="009E7792">
        <w:rPr>
          <w:sz w:val="20"/>
          <w:szCs w:val="20"/>
        </w:rPr>
        <w:t>ipeline projects are considered</w:t>
      </w:r>
      <w:r w:rsidRPr="007366EE">
        <w:rPr>
          <w:sz w:val="20"/>
          <w:szCs w:val="20"/>
        </w:rPr>
        <w:t>. One option that Turkey has also considered is for the construction of an LNG liquefaction plant and export terminal at Ceyhan for the export of Russian natural gas from the Blue Stream Pipeline. This is one option to turn Turkey into a transit center, and possibly an attractive project to manage potential oversupply of natural gas to the Turkish market in the years ahead.</w:t>
      </w:r>
    </w:p>
    <w:p w:rsidR="00922BFE" w:rsidRPr="007366EE" w:rsidRDefault="00922BFE" w:rsidP="00CE0266">
      <w:pPr>
        <w:spacing w:after="0"/>
        <w:rPr>
          <w:rFonts w:cs="CenturyGothic"/>
          <w:b/>
          <w:sz w:val="20"/>
          <w:szCs w:val="20"/>
          <w:lang w:eastAsia="tr-TR"/>
        </w:rPr>
      </w:pPr>
    </w:p>
    <w:p w:rsidR="008E510C" w:rsidRPr="007366EE" w:rsidRDefault="0048377B" w:rsidP="004A6E7F">
      <w:pPr>
        <w:autoSpaceDE w:val="0"/>
        <w:autoSpaceDN w:val="0"/>
        <w:adjustRightInd w:val="0"/>
        <w:spacing w:after="0" w:line="240" w:lineRule="auto"/>
        <w:jc w:val="center"/>
        <w:rPr>
          <w:rFonts w:cs="TT2971O00"/>
          <w:b/>
          <w:color w:val="231F20"/>
          <w:sz w:val="20"/>
          <w:szCs w:val="20"/>
          <w:lang w:eastAsia="tr-TR"/>
        </w:rPr>
      </w:pPr>
      <w:r w:rsidRPr="007366EE">
        <w:rPr>
          <w:rFonts w:cs="TT2971O00"/>
          <w:b/>
          <w:color w:val="231F20"/>
          <w:sz w:val="20"/>
          <w:szCs w:val="20"/>
          <w:lang w:eastAsia="tr-TR"/>
        </w:rPr>
        <w:t>Opportunities</w:t>
      </w:r>
      <w:r w:rsidR="008E510C" w:rsidRPr="007366EE">
        <w:rPr>
          <w:rFonts w:cs="TT2971O00"/>
          <w:b/>
          <w:color w:val="231F20"/>
          <w:sz w:val="20"/>
          <w:szCs w:val="20"/>
          <w:lang w:eastAsia="tr-TR"/>
        </w:rPr>
        <w:t xml:space="preserve"> in the Turkish Natural Gas Market</w:t>
      </w:r>
    </w:p>
    <w:p w:rsidR="008E510C" w:rsidRPr="007366EE" w:rsidRDefault="008E510C" w:rsidP="008E510C">
      <w:pPr>
        <w:autoSpaceDE w:val="0"/>
        <w:autoSpaceDN w:val="0"/>
        <w:adjustRightInd w:val="0"/>
        <w:spacing w:after="0" w:line="240" w:lineRule="auto"/>
        <w:rPr>
          <w:rFonts w:cs="TT2971O00"/>
          <w:b/>
          <w:color w:val="231F20"/>
          <w:sz w:val="20"/>
          <w:szCs w:val="20"/>
          <w:lang w:eastAsia="tr-TR"/>
        </w:rPr>
      </w:pPr>
    </w:p>
    <w:p w:rsidR="008E510C" w:rsidRPr="007366EE" w:rsidRDefault="008E510C" w:rsidP="008E510C">
      <w:pPr>
        <w:autoSpaceDE w:val="0"/>
        <w:autoSpaceDN w:val="0"/>
        <w:adjustRightInd w:val="0"/>
        <w:spacing w:after="0" w:line="240" w:lineRule="auto"/>
        <w:rPr>
          <w:rFonts w:cs="TT296EO00"/>
          <w:color w:val="231F20"/>
          <w:sz w:val="20"/>
          <w:szCs w:val="20"/>
          <w:lang w:eastAsia="tr-TR"/>
        </w:rPr>
      </w:pPr>
      <w:r w:rsidRPr="007366EE">
        <w:rPr>
          <w:rFonts w:cs="TT2971O00"/>
          <w:b/>
          <w:color w:val="231F20"/>
          <w:sz w:val="20"/>
          <w:szCs w:val="20"/>
          <w:lang w:eastAsia="tr-TR"/>
        </w:rPr>
        <w:t>High demand growth potential</w:t>
      </w:r>
      <w:r w:rsidRPr="007366EE">
        <w:rPr>
          <w:rFonts w:cs="TT2985O00"/>
          <w:color w:val="231F20"/>
          <w:sz w:val="20"/>
          <w:szCs w:val="20"/>
          <w:lang w:eastAsia="tr-TR"/>
        </w:rPr>
        <w:t xml:space="preserve">: </w:t>
      </w:r>
      <w:r w:rsidRPr="007366EE">
        <w:rPr>
          <w:rFonts w:cs="TT296EO00"/>
          <w:color w:val="231F20"/>
          <w:sz w:val="20"/>
          <w:szCs w:val="20"/>
          <w:lang w:eastAsia="tr-TR"/>
        </w:rPr>
        <w:t xml:space="preserve">Turkey, with a population of </w:t>
      </w:r>
      <w:r w:rsidR="00DF5C97" w:rsidRPr="007366EE">
        <w:rPr>
          <w:rFonts w:cs="TT296EO00"/>
          <w:color w:val="231F20"/>
          <w:sz w:val="20"/>
          <w:szCs w:val="20"/>
          <w:lang w:eastAsia="tr-TR"/>
        </w:rPr>
        <w:t xml:space="preserve">over </w:t>
      </w:r>
      <w:r w:rsidRPr="007366EE">
        <w:rPr>
          <w:rFonts w:cs="TT296EO00"/>
          <w:color w:val="231F20"/>
          <w:sz w:val="20"/>
          <w:szCs w:val="20"/>
          <w:lang w:eastAsia="tr-TR"/>
        </w:rPr>
        <w:t xml:space="preserve">70 million and a rapidly growing economy, has had one of the fastest growing gas markets in the world in the past decade. </w:t>
      </w:r>
      <w:r w:rsidR="00DF5C97" w:rsidRPr="007366EE">
        <w:rPr>
          <w:rFonts w:cs="TT296EO00"/>
          <w:color w:val="231F20"/>
          <w:sz w:val="20"/>
          <w:szCs w:val="20"/>
          <w:lang w:eastAsia="tr-TR"/>
        </w:rPr>
        <w:t>While annual average GDP growth has been 7 % in the last 5 years, annual average growth in gas consumption has been 15 % for the same period</w:t>
      </w:r>
      <w:r w:rsidR="00CD606C" w:rsidRPr="007366EE">
        <w:rPr>
          <w:rFonts w:cs="TT296EO00"/>
          <w:color w:val="231F20"/>
          <w:sz w:val="20"/>
          <w:szCs w:val="20"/>
          <w:lang w:eastAsia="tr-TR"/>
        </w:rPr>
        <w:t>.</w:t>
      </w:r>
    </w:p>
    <w:p w:rsidR="008E510C" w:rsidRPr="007366EE" w:rsidRDefault="008E510C" w:rsidP="00CE0266">
      <w:pPr>
        <w:spacing w:after="0"/>
        <w:rPr>
          <w:rFonts w:cs="CenturyGothic"/>
          <w:b/>
          <w:sz w:val="20"/>
          <w:szCs w:val="20"/>
          <w:lang w:eastAsia="tr-TR"/>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828"/>
        <w:gridCol w:w="1440"/>
        <w:gridCol w:w="1382"/>
        <w:gridCol w:w="1498"/>
        <w:gridCol w:w="1456"/>
        <w:gridCol w:w="1440"/>
      </w:tblGrid>
      <w:tr w:rsidR="00CD606C" w:rsidRPr="005604E5" w:rsidTr="005604E5">
        <w:trPr>
          <w:jc w:val="center"/>
        </w:trPr>
        <w:tc>
          <w:tcPr>
            <w:tcW w:w="828"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Year</w:t>
            </w:r>
          </w:p>
        </w:tc>
        <w:tc>
          <w:tcPr>
            <w:tcW w:w="1440"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GDP Growth Rate (%)</w:t>
            </w:r>
          </w:p>
        </w:tc>
        <w:tc>
          <w:tcPr>
            <w:tcW w:w="1382"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 xml:space="preserve">Annual Average Growth rate </w:t>
            </w:r>
          </w:p>
        </w:tc>
        <w:tc>
          <w:tcPr>
            <w:tcW w:w="1498"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vertAlign w:val="superscript"/>
                <w:lang w:eastAsia="tr-TR"/>
              </w:rPr>
            </w:pPr>
            <w:r w:rsidRPr="005604E5">
              <w:rPr>
                <w:rFonts w:eastAsia="Times New Roman" w:cs="CenturyGothic"/>
                <w:b/>
                <w:bCs/>
                <w:color w:val="000000"/>
                <w:sz w:val="16"/>
                <w:szCs w:val="16"/>
                <w:lang w:eastAsia="tr-TR"/>
              </w:rPr>
              <w:t>Gas Consumption (bm</w:t>
            </w:r>
            <w:r w:rsidRPr="005604E5">
              <w:rPr>
                <w:rFonts w:eastAsia="Times New Roman" w:cs="CenturyGothic"/>
                <w:b/>
                <w:bCs/>
                <w:color w:val="000000"/>
                <w:sz w:val="16"/>
                <w:szCs w:val="16"/>
                <w:vertAlign w:val="superscript"/>
                <w:lang w:eastAsia="tr-TR"/>
              </w:rPr>
              <w:t>3</w:t>
            </w:r>
            <w:r w:rsidRPr="005604E5">
              <w:rPr>
                <w:rFonts w:eastAsia="Times New Roman" w:cs="CenturyGothic"/>
                <w:b/>
                <w:bCs/>
                <w:color w:val="000000"/>
                <w:sz w:val="16"/>
                <w:szCs w:val="16"/>
                <w:lang w:eastAsia="tr-TR"/>
              </w:rPr>
              <w:t>)</w:t>
            </w:r>
          </w:p>
        </w:tc>
        <w:tc>
          <w:tcPr>
            <w:tcW w:w="1456"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Growth in Gas Consumption (%)</w:t>
            </w:r>
          </w:p>
        </w:tc>
        <w:tc>
          <w:tcPr>
            <w:tcW w:w="1440" w:type="dxa"/>
            <w:tcBorders>
              <w:top w:val="single" w:sz="8" w:space="0" w:color="4F81BD"/>
              <w:left w:val="single" w:sz="8" w:space="0" w:color="4F81BD"/>
              <w:bottom w:val="single" w:sz="18" w:space="0" w:color="4F81BD"/>
              <w:right w:val="single" w:sz="8" w:space="0" w:color="4F81BD"/>
            </w:tcBorders>
          </w:tcPr>
          <w:p w:rsidR="00CD606C" w:rsidRPr="005604E5" w:rsidRDefault="00CD606C" w:rsidP="005604E5">
            <w:pPr>
              <w:spacing w:after="0"/>
              <w:jc w:val="center"/>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Annual Average Growth rate</w:t>
            </w: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2002</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6.2</w:t>
            </w:r>
          </w:p>
        </w:tc>
        <w:tc>
          <w:tcPr>
            <w:tcW w:w="1382"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rsidR="00CD606C" w:rsidRPr="0017633D" w:rsidRDefault="00CD606C" w:rsidP="005604E5">
            <w:pPr>
              <w:spacing w:after="0"/>
              <w:jc w:val="center"/>
              <w:rPr>
                <w:rFonts w:cs="CenturyGothic"/>
                <w:b/>
                <w:color w:val="000000"/>
                <w:sz w:val="28"/>
                <w:szCs w:val="28"/>
                <w:lang w:eastAsia="tr-TR"/>
              </w:rPr>
            </w:pPr>
            <w:r w:rsidRPr="0017633D">
              <w:rPr>
                <w:rFonts w:cs="CenturyGothic"/>
                <w:b/>
                <w:color w:val="000000"/>
                <w:sz w:val="28"/>
                <w:szCs w:val="28"/>
                <w:lang w:eastAsia="tr-TR"/>
              </w:rPr>
              <w:t>7</w:t>
            </w:r>
          </w:p>
        </w:tc>
        <w:tc>
          <w:tcPr>
            <w:tcW w:w="149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17.378</w:t>
            </w:r>
          </w:p>
        </w:tc>
        <w:tc>
          <w:tcPr>
            <w:tcW w:w="1456"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8.4</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FFFFFF"/>
            <w:vAlign w:val="center"/>
          </w:tcPr>
          <w:p w:rsidR="00CD606C" w:rsidRPr="0017633D" w:rsidRDefault="00CD606C" w:rsidP="005604E5">
            <w:pPr>
              <w:spacing w:after="0" w:line="240" w:lineRule="auto"/>
              <w:jc w:val="center"/>
              <w:rPr>
                <w:rFonts w:eastAsia="Times New Roman"/>
                <w:b/>
                <w:color w:val="000000"/>
                <w:sz w:val="28"/>
                <w:szCs w:val="28"/>
                <w:lang w:eastAsia="tr-TR"/>
              </w:rPr>
            </w:pPr>
            <w:r w:rsidRPr="0017633D">
              <w:rPr>
                <w:rFonts w:eastAsia="Times New Roman"/>
                <w:b/>
                <w:color w:val="000000"/>
                <w:sz w:val="28"/>
                <w:szCs w:val="28"/>
                <w:lang w:eastAsia="tr-TR"/>
              </w:rPr>
              <w:t>15</w:t>
            </w: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2003</w:t>
            </w:r>
          </w:p>
        </w:tc>
        <w:tc>
          <w:tcPr>
            <w:tcW w:w="1440"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5.3</w:t>
            </w:r>
          </w:p>
        </w:tc>
        <w:tc>
          <w:tcPr>
            <w:tcW w:w="1382"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jc w:val="center"/>
              <w:rPr>
                <w:rFonts w:cs="CenturyGothic"/>
                <w:color w:val="000000"/>
                <w:sz w:val="16"/>
                <w:szCs w:val="16"/>
                <w:lang w:eastAsia="tr-TR"/>
              </w:rPr>
            </w:pPr>
          </w:p>
        </w:tc>
        <w:tc>
          <w:tcPr>
            <w:tcW w:w="1498"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20.938</w:t>
            </w:r>
          </w:p>
        </w:tc>
        <w:tc>
          <w:tcPr>
            <w:tcW w:w="1456"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20.5</w:t>
            </w:r>
          </w:p>
        </w:tc>
        <w:tc>
          <w:tcPr>
            <w:tcW w:w="1440"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line="240" w:lineRule="auto"/>
              <w:jc w:val="center"/>
              <w:rPr>
                <w:rFonts w:eastAsia="Times New Roman"/>
                <w:color w:val="000000"/>
                <w:sz w:val="16"/>
                <w:szCs w:val="16"/>
                <w:lang w:eastAsia="tr-TR"/>
              </w:rPr>
            </w:pP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2004</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9.4</w:t>
            </w:r>
          </w:p>
        </w:tc>
        <w:tc>
          <w:tcPr>
            <w:tcW w:w="1382"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jc w:val="center"/>
              <w:rPr>
                <w:rFonts w:cs="CenturyGothic"/>
                <w:color w:val="000000"/>
                <w:sz w:val="16"/>
                <w:szCs w:val="16"/>
                <w:lang w:eastAsia="tr-TR"/>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22.108</w:t>
            </w:r>
          </w:p>
        </w:tc>
        <w:tc>
          <w:tcPr>
            <w:tcW w:w="1456"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5.6</w:t>
            </w:r>
          </w:p>
        </w:tc>
        <w:tc>
          <w:tcPr>
            <w:tcW w:w="1440"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line="240" w:lineRule="auto"/>
              <w:jc w:val="center"/>
              <w:rPr>
                <w:rFonts w:eastAsia="Times New Roman"/>
                <w:color w:val="000000"/>
                <w:sz w:val="16"/>
                <w:szCs w:val="16"/>
                <w:lang w:eastAsia="tr-TR"/>
              </w:rPr>
            </w:pP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2005</w:t>
            </w:r>
          </w:p>
        </w:tc>
        <w:tc>
          <w:tcPr>
            <w:tcW w:w="1440"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8.4</w:t>
            </w:r>
          </w:p>
        </w:tc>
        <w:tc>
          <w:tcPr>
            <w:tcW w:w="1382"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jc w:val="center"/>
              <w:rPr>
                <w:rFonts w:cs="CenturyGothic"/>
                <w:color w:val="000000"/>
                <w:sz w:val="16"/>
                <w:szCs w:val="16"/>
                <w:lang w:eastAsia="tr-TR"/>
              </w:rPr>
            </w:pPr>
          </w:p>
        </w:tc>
        <w:tc>
          <w:tcPr>
            <w:tcW w:w="1498"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26.865</w:t>
            </w:r>
          </w:p>
        </w:tc>
        <w:tc>
          <w:tcPr>
            <w:tcW w:w="1456"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21.5</w:t>
            </w:r>
          </w:p>
        </w:tc>
        <w:tc>
          <w:tcPr>
            <w:tcW w:w="1440"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line="240" w:lineRule="auto"/>
              <w:jc w:val="center"/>
              <w:rPr>
                <w:rFonts w:eastAsia="Times New Roman"/>
                <w:color w:val="000000"/>
                <w:sz w:val="16"/>
                <w:szCs w:val="16"/>
                <w:lang w:eastAsia="tr-TR"/>
              </w:rPr>
            </w:pP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2006</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6.9</w:t>
            </w:r>
          </w:p>
        </w:tc>
        <w:tc>
          <w:tcPr>
            <w:tcW w:w="1382"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jc w:val="center"/>
              <w:rPr>
                <w:rFonts w:cs="CenturyGothic"/>
                <w:color w:val="000000"/>
                <w:sz w:val="16"/>
                <w:szCs w:val="16"/>
                <w:lang w:eastAsia="tr-TR"/>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30.493</w:t>
            </w:r>
          </w:p>
        </w:tc>
        <w:tc>
          <w:tcPr>
            <w:tcW w:w="1456"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13.5</w:t>
            </w:r>
          </w:p>
        </w:tc>
        <w:tc>
          <w:tcPr>
            <w:tcW w:w="1440"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line="240" w:lineRule="auto"/>
              <w:jc w:val="center"/>
              <w:rPr>
                <w:rFonts w:eastAsia="Times New Roman"/>
                <w:color w:val="000000"/>
                <w:sz w:val="16"/>
                <w:szCs w:val="16"/>
                <w:lang w:eastAsia="tr-TR"/>
              </w:rPr>
            </w:pPr>
          </w:p>
        </w:tc>
      </w:tr>
      <w:tr w:rsidR="00CD606C" w:rsidRPr="005604E5" w:rsidTr="005604E5">
        <w:trPr>
          <w:jc w:val="center"/>
        </w:trPr>
        <w:tc>
          <w:tcPr>
            <w:tcW w:w="828"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rPr>
                <w:rFonts w:eastAsia="Times New Roman" w:cs="CenturyGothic"/>
                <w:b/>
                <w:bCs/>
                <w:color w:val="000000"/>
                <w:sz w:val="16"/>
                <w:szCs w:val="16"/>
                <w:lang w:eastAsia="tr-TR"/>
              </w:rPr>
            </w:pPr>
            <w:r w:rsidRPr="005604E5">
              <w:rPr>
                <w:rFonts w:eastAsia="Times New Roman" w:cs="CenturyGothic"/>
                <w:b/>
                <w:bCs/>
                <w:color w:val="000000"/>
                <w:sz w:val="16"/>
                <w:szCs w:val="16"/>
                <w:lang w:eastAsia="tr-TR"/>
              </w:rPr>
              <w:t>2007</w:t>
            </w:r>
          </w:p>
        </w:tc>
        <w:tc>
          <w:tcPr>
            <w:tcW w:w="1440" w:type="dxa"/>
            <w:tcBorders>
              <w:top w:val="single" w:sz="8" w:space="0" w:color="4F81BD"/>
              <w:left w:val="single" w:sz="8" w:space="0" w:color="4F81BD"/>
              <w:bottom w:val="single" w:sz="8" w:space="0" w:color="4F81BD"/>
              <w:right w:val="single" w:sz="8" w:space="0" w:color="4F81BD"/>
            </w:tcBorders>
          </w:tcPr>
          <w:p w:rsidR="00CD606C" w:rsidRPr="005604E5" w:rsidRDefault="00CD606C" w:rsidP="005604E5">
            <w:pPr>
              <w:spacing w:after="0"/>
              <w:jc w:val="center"/>
              <w:rPr>
                <w:rFonts w:cs="CenturyGothic"/>
                <w:color w:val="000000"/>
                <w:sz w:val="16"/>
                <w:szCs w:val="16"/>
                <w:lang w:eastAsia="tr-TR"/>
              </w:rPr>
            </w:pPr>
            <w:r w:rsidRPr="005604E5">
              <w:rPr>
                <w:rFonts w:cs="CenturyGothic"/>
                <w:color w:val="000000"/>
                <w:sz w:val="16"/>
                <w:szCs w:val="16"/>
                <w:lang w:eastAsia="tr-TR"/>
              </w:rPr>
              <w:t>5</w:t>
            </w:r>
          </w:p>
        </w:tc>
        <w:tc>
          <w:tcPr>
            <w:tcW w:w="1382"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jc w:val="center"/>
              <w:rPr>
                <w:rFonts w:cs="CenturyGothic"/>
                <w:color w:val="000000"/>
                <w:sz w:val="16"/>
                <w:szCs w:val="16"/>
                <w:lang w:eastAsia="tr-TR"/>
              </w:rPr>
            </w:pPr>
          </w:p>
        </w:tc>
        <w:tc>
          <w:tcPr>
            <w:tcW w:w="1498"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35.064</w:t>
            </w:r>
          </w:p>
        </w:tc>
        <w:tc>
          <w:tcPr>
            <w:tcW w:w="1456" w:type="dxa"/>
            <w:tcBorders>
              <w:top w:val="single" w:sz="8" w:space="0" w:color="4F81BD"/>
              <w:left w:val="single" w:sz="8" w:space="0" w:color="4F81BD"/>
              <w:bottom w:val="single" w:sz="8" w:space="0" w:color="4F81BD"/>
              <w:right w:val="single" w:sz="8" w:space="0" w:color="4F81BD"/>
            </w:tcBorders>
            <w:vAlign w:val="bottom"/>
          </w:tcPr>
          <w:p w:rsidR="00CD606C" w:rsidRPr="005604E5" w:rsidRDefault="00CD606C" w:rsidP="005604E5">
            <w:pPr>
              <w:spacing w:after="0" w:line="240" w:lineRule="auto"/>
              <w:jc w:val="center"/>
              <w:rPr>
                <w:rFonts w:eastAsia="Times New Roman"/>
                <w:color w:val="000000"/>
                <w:sz w:val="16"/>
                <w:szCs w:val="16"/>
                <w:lang w:eastAsia="tr-TR"/>
              </w:rPr>
            </w:pPr>
            <w:r w:rsidRPr="005604E5">
              <w:rPr>
                <w:rFonts w:eastAsia="Times New Roman"/>
                <w:color w:val="000000"/>
                <w:sz w:val="16"/>
                <w:szCs w:val="16"/>
                <w:lang w:eastAsia="tr-TR"/>
              </w:rPr>
              <w:t>15</w:t>
            </w:r>
          </w:p>
        </w:tc>
        <w:tc>
          <w:tcPr>
            <w:tcW w:w="1440" w:type="dxa"/>
            <w:vMerge/>
            <w:tcBorders>
              <w:top w:val="single" w:sz="8" w:space="0" w:color="4F81BD"/>
              <w:left w:val="single" w:sz="8" w:space="0" w:color="4F81BD"/>
              <w:bottom w:val="single" w:sz="8" w:space="0" w:color="4F81BD"/>
              <w:right w:val="single" w:sz="8" w:space="0" w:color="4F81BD"/>
            </w:tcBorders>
            <w:shd w:val="clear" w:color="auto" w:fill="FFFFFF"/>
          </w:tcPr>
          <w:p w:rsidR="00CD606C" w:rsidRPr="005604E5" w:rsidRDefault="00CD606C" w:rsidP="005604E5">
            <w:pPr>
              <w:spacing w:after="0" w:line="240" w:lineRule="auto"/>
              <w:jc w:val="center"/>
              <w:rPr>
                <w:rFonts w:eastAsia="Times New Roman"/>
                <w:color w:val="000000"/>
                <w:sz w:val="16"/>
                <w:szCs w:val="16"/>
                <w:lang w:eastAsia="tr-TR"/>
              </w:rPr>
            </w:pPr>
          </w:p>
        </w:tc>
      </w:tr>
    </w:tbl>
    <w:p w:rsidR="008E510C" w:rsidRPr="007366EE" w:rsidRDefault="0034407F" w:rsidP="0048377B">
      <w:pPr>
        <w:spacing w:after="0"/>
        <w:ind w:firstLine="720"/>
        <w:rPr>
          <w:rFonts w:cs="CenturyGothic"/>
          <w:sz w:val="16"/>
          <w:szCs w:val="16"/>
          <w:lang w:eastAsia="tr-TR"/>
        </w:rPr>
      </w:pPr>
      <w:r w:rsidRPr="007366EE">
        <w:rPr>
          <w:rFonts w:cs="CenturyGothic"/>
          <w:b/>
          <w:i/>
          <w:sz w:val="16"/>
          <w:szCs w:val="16"/>
          <w:lang w:eastAsia="tr-TR"/>
        </w:rPr>
        <w:t>Source:</w:t>
      </w:r>
      <w:r w:rsidRPr="007366EE">
        <w:rPr>
          <w:rFonts w:cs="CenturyGothic"/>
          <w:sz w:val="16"/>
          <w:szCs w:val="16"/>
          <w:lang w:eastAsia="tr-TR"/>
        </w:rPr>
        <w:t xml:space="preserve"> IMF and BOTAS</w:t>
      </w:r>
    </w:p>
    <w:p w:rsidR="00AE04AF" w:rsidRPr="007366EE" w:rsidRDefault="00AE04AF" w:rsidP="00AE04AF">
      <w:pPr>
        <w:autoSpaceDE w:val="0"/>
        <w:autoSpaceDN w:val="0"/>
        <w:adjustRightInd w:val="0"/>
        <w:spacing w:after="0" w:line="240" w:lineRule="auto"/>
        <w:rPr>
          <w:rFonts w:cs="TT296EO00"/>
          <w:color w:val="231F20"/>
          <w:sz w:val="20"/>
          <w:szCs w:val="20"/>
          <w:lang w:eastAsia="tr-TR"/>
        </w:rPr>
      </w:pPr>
      <w:r w:rsidRPr="007366EE">
        <w:rPr>
          <w:rFonts w:cs="TT2971O00"/>
          <w:b/>
          <w:color w:val="231F20"/>
          <w:sz w:val="20"/>
          <w:szCs w:val="20"/>
          <w:lang w:eastAsia="tr-TR"/>
        </w:rPr>
        <w:t>Favorable supply geography and infrastructure:</w:t>
      </w:r>
      <w:r w:rsidRPr="007366EE">
        <w:rPr>
          <w:rFonts w:cs="TT2971O00"/>
          <w:color w:val="231F20"/>
          <w:sz w:val="20"/>
          <w:szCs w:val="20"/>
          <w:lang w:eastAsia="tr-TR"/>
        </w:rPr>
        <w:t xml:space="preserve"> </w:t>
      </w:r>
      <w:r w:rsidRPr="007366EE">
        <w:rPr>
          <w:rFonts w:cs="TT296EO00"/>
          <w:color w:val="231F20"/>
          <w:sz w:val="20"/>
          <w:szCs w:val="20"/>
          <w:lang w:eastAsia="tr-TR"/>
        </w:rPr>
        <w:t>Turkey is favorably located relative to gas resource-rich, revenue-needy supplying countries to the east, including Azerbaijan, Iran, Iraq, Russia and Turkmenistan. Russia and Iran rank first and second among the world’s largest gas reserves holders, and have already been connected to Turkey through</w:t>
      </w:r>
      <w:r w:rsidR="00E23FF0">
        <w:rPr>
          <w:rFonts w:cs="TT296EO00"/>
          <w:color w:val="231F20"/>
          <w:sz w:val="20"/>
          <w:szCs w:val="20"/>
          <w:lang w:eastAsia="tr-TR"/>
        </w:rPr>
        <w:t xml:space="preserve"> m</w:t>
      </w:r>
      <w:r w:rsidR="00E23FF0" w:rsidRPr="007366EE">
        <w:rPr>
          <w:rFonts w:cs="TT296EO00"/>
          <w:color w:val="231F20"/>
          <w:sz w:val="20"/>
          <w:szCs w:val="20"/>
          <w:lang w:eastAsia="tr-TR"/>
        </w:rPr>
        <w:t>ajor</w:t>
      </w:r>
      <w:r w:rsidR="007366EE" w:rsidRPr="007366EE">
        <w:rPr>
          <w:rFonts w:cs="TT296EO00"/>
          <w:color w:val="231F20"/>
          <w:sz w:val="20"/>
          <w:szCs w:val="20"/>
          <w:lang w:eastAsia="tr-TR"/>
        </w:rPr>
        <w:t xml:space="preserve"> pipelines. While </w:t>
      </w:r>
      <w:r w:rsidR="00E23FF0">
        <w:rPr>
          <w:rFonts w:cs="TT296EO00"/>
          <w:color w:val="231F20"/>
          <w:sz w:val="20"/>
          <w:szCs w:val="20"/>
          <w:lang w:eastAsia="tr-TR"/>
        </w:rPr>
        <w:t>major</w:t>
      </w:r>
      <w:r w:rsidR="007366EE" w:rsidRPr="007366EE">
        <w:rPr>
          <w:rFonts w:cs="TT296EO00"/>
          <w:color w:val="231F20"/>
          <w:sz w:val="20"/>
          <w:szCs w:val="20"/>
          <w:lang w:eastAsia="tr-TR"/>
        </w:rPr>
        <w:t xml:space="preserve"> natural gas sources are already connected to Turkey</w:t>
      </w:r>
      <w:r w:rsidRPr="007366EE">
        <w:rPr>
          <w:rFonts w:cs="TT296EO00"/>
          <w:color w:val="231F20"/>
          <w:sz w:val="20"/>
          <w:szCs w:val="20"/>
          <w:lang w:eastAsia="tr-TR"/>
        </w:rPr>
        <w:t xml:space="preserve">, Iraq and Turkmenistan </w:t>
      </w:r>
      <w:r w:rsidR="00E23FF0">
        <w:rPr>
          <w:rFonts w:cs="TT296EO00"/>
          <w:color w:val="231F20"/>
          <w:sz w:val="20"/>
          <w:szCs w:val="20"/>
          <w:lang w:eastAsia="tr-TR"/>
        </w:rPr>
        <w:t>will</w:t>
      </w:r>
      <w:r w:rsidRPr="007366EE">
        <w:rPr>
          <w:rFonts w:cs="TT296EO00"/>
          <w:color w:val="231F20"/>
          <w:sz w:val="20"/>
          <w:szCs w:val="20"/>
          <w:lang w:eastAsia="tr-TR"/>
        </w:rPr>
        <w:t xml:space="preserve"> also be linked to Turkey in the near future. Future incremental import contracts, including short-term ones, can use the existing infras</w:t>
      </w:r>
      <w:r w:rsidR="00CA6640">
        <w:rPr>
          <w:rFonts w:cs="TT296EO00"/>
          <w:color w:val="231F20"/>
          <w:sz w:val="20"/>
          <w:szCs w:val="20"/>
          <w:lang w:eastAsia="tr-TR"/>
        </w:rPr>
        <w:t>tructure at lower cost.</w:t>
      </w:r>
    </w:p>
    <w:p w:rsidR="00AE04AF" w:rsidRPr="007366EE" w:rsidRDefault="00AE04AF" w:rsidP="00AE04AF">
      <w:pPr>
        <w:autoSpaceDE w:val="0"/>
        <w:autoSpaceDN w:val="0"/>
        <w:adjustRightInd w:val="0"/>
        <w:spacing w:after="0" w:line="240" w:lineRule="auto"/>
        <w:rPr>
          <w:rFonts w:cs="TT296EO00"/>
          <w:color w:val="231F20"/>
          <w:sz w:val="20"/>
          <w:szCs w:val="20"/>
          <w:lang w:eastAsia="tr-TR"/>
        </w:rPr>
      </w:pPr>
    </w:p>
    <w:p w:rsidR="00AE04AF" w:rsidRPr="007366EE" w:rsidRDefault="00AE04AF" w:rsidP="00AE04AF">
      <w:pPr>
        <w:autoSpaceDE w:val="0"/>
        <w:autoSpaceDN w:val="0"/>
        <w:adjustRightInd w:val="0"/>
        <w:spacing w:after="0" w:line="240" w:lineRule="auto"/>
        <w:rPr>
          <w:rFonts w:cs="TT296EO00"/>
          <w:color w:val="231F20"/>
          <w:sz w:val="20"/>
          <w:szCs w:val="20"/>
          <w:lang w:eastAsia="tr-TR"/>
        </w:rPr>
      </w:pPr>
      <w:r w:rsidRPr="007366EE">
        <w:rPr>
          <w:rFonts w:cs="TT2971O00"/>
          <w:b/>
          <w:color w:val="231F20"/>
          <w:sz w:val="20"/>
          <w:szCs w:val="20"/>
          <w:lang w:eastAsia="tr-TR"/>
        </w:rPr>
        <w:t>Extensive transmission backbone:</w:t>
      </w:r>
      <w:r w:rsidRPr="007366EE">
        <w:rPr>
          <w:rFonts w:cs="TT2971O00"/>
          <w:color w:val="231F20"/>
          <w:sz w:val="20"/>
          <w:szCs w:val="20"/>
          <w:lang w:eastAsia="tr-TR"/>
        </w:rPr>
        <w:t xml:space="preserve"> </w:t>
      </w:r>
      <w:r w:rsidRPr="007366EE">
        <w:rPr>
          <w:rFonts w:cs="TT296EO00"/>
          <w:color w:val="231F20"/>
          <w:sz w:val="20"/>
          <w:szCs w:val="20"/>
          <w:lang w:eastAsia="tr-TR"/>
        </w:rPr>
        <w:t>The system is substantially in place or under construction to cover the main consumption areas of the country</w:t>
      </w:r>
      <w:r w:rsidR="007366EE" w:rsidRPr="007366EE">
        <w:rPr>
          <w:rFonts w:cs="TT296EO00"/>
          <w:color w:val="231F20"/>
          <w:sz w:val="20"/>
          <w:szCs w:val="20"/>
          <w:lang w:eastAsia="tr-TR"/>
        </w:rPr>
        <w:t>, w</w:t>
      </w:r>
      <w:r w:rsidRPr="007366EE">
        <w:rPr>
          <w:rFonts w:cs="TT296EO00"/>
          <w:color w:val="231F20"/>
          <w:sz w:val="20"/>
          <w:szCs w:val="20"/>
          <w:lang w:eastAsia="tr-TR"/>
        </w:rPr>
        <w:t>ith significant ongoing investments</w:t>
      </w:r>
      <w:r w:rsidR="007366EE" w:rsidRPr="007366EE">
        <w:rPr>
          <w:rFonts w:cs="TT296EO00"/>
          <w:color w:val="231F20"/>
          <w:sz w:val="20"/>
          <w:szCs w:val="20"/>
          <w:lang w:eastAsia="tr-TR"/>
        </w:rPr>
        <w:t>.</w:t>
      </w:r>
    </w:p>
    <w:p w:rsidR="007366EE" w:rsidRPr="007366EE" w:rsidRDefault="007366EE" w:rsidP="00AE04AF">
      <w:pPr>
        <w:autoSpaceDE w:val="0"/>
        <w:autoSpaceDN w:val="0"/>
        <w:adjustRightInd w:val="0"/>
        <w:spacing w:after="0" w:line="240" w:lineRule="auto"/>
        <w:rPr>
          <w:rFonts w:cs="TT296EO00"/>
          <w:color w:val="231F20"/>
          <w:sz w:val="20"/>
          <w:szCs w:val="20"/>
          <w:lang w:eastAsia="tr-TR"/>
        </w:rPr>
      </w:pPr>
    </w:p>
    <w:p w:rsidR="008E510C" w:rsidRPr="007366EE" w:rsidRDefault="00AE04AF" w:rsidP="00AE04AF">
      <w:pPr>
        <w:autoSpaceDE w:val="0"/>
        <w:autoSpaceDN w:val="0"/>
        <w:adjustRightInd w:val="0"/>
        <w:spacing w:after="0" w:line="240" w:lineRule="auto"/>
        <w:rPr>
          <w:rFonts w:cs="TT296EO00"/>
          <w:color w:val="231F20"/>
          <w:sz w:val="20"/>
          <w:szCs w:val="20"/>
          <w:lang w:eastAsia="tr-TR"/>
        </w:rPr>
      </w:pPr>
      <w:r w:rsidRPr="007366EE">
        <w:rPr>
          <w:rFonts w:cs="TT2971O00"/>
          <w:b/>
          <w:color w:val="231F20"/>
          <w:sz w:val="20"/>
          <w:szCs w:val="20"/>
          <w:lang w:eastAsia="tr-TR"/>
        </w:rPr>
        <w:t>Lack of clean energy substitutes:</w:t>
      </w:r>
      <w:r w:rsidRPr="007366EE">
        <w:rPr>
          <w:rFonts w:cs="TT2971O00"/>
          <w:color w:val="231F20"/>
          <w:sz w:val="20"/>
          <w:szCs w:val="20"/>
          <w:lang w:eastAsia="tr-TR"/>
        </w:rPr>
        <w:t xml:space="preserve"> </w:t>
      </w:r>
      <w:r w:rsidRPr="007366EE">
        <w:rPr>
          <w:rFonts w:cs="TT296EO00"/>
          <w:color w:val="231F20"/>
          <w:sz w:val="20"/>
          <w:szCs w:val="20"/>
          <w:lang w:eastAsia="tr-TR"/>
        </w:rPr>
        <w:t>Alternative clean energy sources are not readily available in large amounts, except for hydropower, which is already heavily exploited (with the exception of small hydro plants) and expensive to develop.</w:t>
      </w:r>
    </w:p>
    <w:p w:rsidR="007366EE" w:rsidRPr="007366EE" w:rsidRDefault="007366EE" w:rsidP="00AE04AF">
      <w:pPr>
        <w:autoSpaceDE w:val="0"/>
        <w:autoSpaceDN w:val="0"/>
        <w:adjustRightInd w:val="0"/>
        <w:spacing w:after="0" w:line="240" w:lineRule="auto"/>
        <w:rPr>
          <w:rFonts w:cs="TT296EO00"/>
          <w:color w:val="231F20"/>
          <w:sz w:val="20"/>
          <w:szCs w:val="20"/>
          <w:lang w:eastAsia="tr-TR"/>
        </w:rPr>
      </w:pPr>
    </w:p>
    <w:p w:rsidR="007366EE" w:rsidRPr="007366EE" w:rsidRDefault="007366EE" w:rsidP="007366EE">
      <w:pPr>
        <w:autoSpaceDE w:val="0"/>
        <w:autoSpaceDN w:val="0"/>
        <w:adjustRightInd w:val="0"/>
        <w:spacing w:after="0" w:line="240" w:lineRule="auto"/>
        <w:rPr>
          <w:rFonts w:cs="TT2971O00"/>
          <w:color w:val="231F20"/>
          <w:sz w:val="20"/>
          <w:szCs w:val="20"/>
          <w:lang w:eastAsia="tr-TR"/>
        </w:rPr>
      </w:pPr>
      <w:r w:rsidRPr="007366EE">
        <w:rPr>
          <w:rFonts w:cs="TT2971O00"/>
          <w:b/>
          <w:color w:val="231F20"/>
          <w:sz w:val="20"/>
          <w:szCs w:val="20"/>
          <w:lang w:eastAsia="tr-TR"/>
        </w:rPr>
        <w:t>Proven environment for investors:</w:t>
      </w:r>
      <w:r w:rsidRPr="007366EE">
        <w:rPr>
          <w:rFonts w:cs="TT2971O00"/>
          <w:color w:val="231F20"/>
          <w:sz w:val="20"/>
          <w:szCs w:val="20"/>
          <w:lang w:eastAsia="tr-TR"/>
        </w:rPr>
        <w:t xml:space="preserve">  Turkey introduced new laws and reforms</w:t>
      </w:r>
      <w:r w:rsidR="00521AC9">
        <w:rPr>
          <w:rFonts w:cs="TT2971O00"/>
          <w:color w:val="231F20"/>
          <w:sz w:val="20"/>
          <w:szCs w:val="20"/>
          <w:lang w:eastAsia="tr-TR"/>
        </w:rPr>
        <w:t xml:space="preserve"> liberalizing the energy market.</w:t>
      </w:r>
      <w:r w:rsidRPr="007366EE">
        <w:rPr>
          <w:rFonts w:cs="TT2971O00"/>
          <w:color w:val="231F20"/>
          <w:sz w:val="20"/>
          <w:szCs w:val="20"/>
          <w:lang w:eastAsia="tr-TR"/>
        </w:rPr>
        <w:t xml:space="preserve"> </w:t>
      </w:r>
      <w:r w:rsidR="00521AC9">
        <w:rPr>
          <w:rFonts w:cs="TT296EO00"/>
          <w:color w:val="231F20"/>
          <w:sz w:val="20"/>
          <w:szCs w:val="20"/>
          <w:lang w:eastAsia="tr-TR"/>
        </w:rPr>
        <w:t>S</w:t>
      </w:r>
      <w:r w:rsidR="00521AC9" w:rsidRPr="007366EE">
        <w:rPr>
          <w:rFonts w:cs="TT296EO00"/>
          <w:color w:val="231F20"/>
          <w:sz w:val="20"/>
          <w:szCs w:val="20"/>
          <w:lang w:eastAsia="tr-TR"/>
        </w:rPr>
        <w:t>trong regulation and/or unbundling</w:t>
      </w:r>
      <w:r w:rsidR="00521AC9" w:rsidRPr="007366EE">
        <w:rPr>
          <w:rFonts w:cs="TT2971O00"/>
          <w:color w:val="231F20"/>
          <w:sz w:val="20"/>
          <w:szCs w:val="20"/>
          <w:lang w:eastAsia="tr-TR"/>
        </w:rPr>
        <w:t xml:space="preserve"> </w:t>
      </w:r>
      <w:r w:rsidR="00521AC9">
        <w:rPr>
          <w:rFonts w:cs="TT2971O00"/>
          <w:color w:val="231F20"/>
          <w:sz w:val="20"/>
          <w:szCs w:val="20"/>
          <w:lang w:eastAsia="tr-TR"/>
        </w:rPr>
        <w:t xml:space="preserve">provided by </w:t>
      </w:r>
      <w:r w:rsidRPr="007366EE">
        <w:rPr>
          <w:rFonts w:cs="TT2971O00"/>
          <w:color w:val="231F20"/>
          <w:sz w:val="20"/>
          <w:szCs w:val="20"/>
          <w:lang w:eastAsia="tr-TR"/>
        </w:rPr>
        <w:t>the Energy Market Regu</w:t>
      </w:r>
      <w:r w:rsidR="00521AC9">
        <w:rPr>
          <w:rFonts w:cs="TT2971O00"/>
          <w:color w:val="231F20"/>
          <w:sz w:val="20"/>
          <w:szCs w:val="20"/>
          <w:lang w:eastAsia="tr-TR"/>
        </w:rPr>
        <w:t>latory Authority</w:t>
      </w:r>
      <w:r w:rsidR="00471F1B">
        <w:rPr>
          <w:rFonts w:cs="TT2971O00"/>
          <w:color w:val="231F20"/>
          <w:sz w:val="20"/>
          <w:szCs w:val="20"/>
          <w:lang w:eastAsia="tr-TR"/>
        </w:rPr>
        <w:t xml:space="preserve"> as well as the Competition </w:t>
      </w:r>
      <w:r w:rsidR="008A0510">
        <w:rPr>
          <w:rFonts w:cs="TT2971O00"/>
          <w:color w:val="231F20"/>
          <w:sz w:val="20"/>
          <w:szCs w:val="20"/>
          <w:lang w:eastAsia="tr-TR"/>
        </w:rPr>
        <w:t>Authority</w:t>
      </w:r>
      <w:r w:rsidR="00521AC9">
        <w:rPr>
          <w:rFonts w:cs="TT2971O00"/>
          <w:color w:val="231F20"/>
          <w:sz w:val="20"/>
          <w:szCs w:val="20"/>
          <w:lang w:eastAsia="tr-TR"/>
        </w:rPr>
        <w:t xml:space="preserve"> are </w:t>
      </w:r>
      <w:r w:rsidR="00471F1B">
        <w:rPr>
          <w:rFonts w:cs="TT2971O00"/>
          <w:color w:val="231F20"/>
          <w:sz w:val="20"/>
          <w:szCs w:val="20"/>
          <w:lang w:eastAsia="tr-TR"/>
        </w:rPr>
        <w:t>strong indications</w:t>
      </w:r>
      <w:r w:rsidR="00521AC9">
        <w:rPr>
          <w:rFonts w:cs="TT2971O00"/>
          <w:color w:val="231F20"/>
          <w:sz w:val="20"/>
          <w:szCs w:val="20"/>
          <w:lang w:eastAsia="tr-TR"/>
        </w:rPr>
        <w:t xml:space="preserve"> of a fair and competitive energy market in Turkey. </w:t>
      </w:r>
      <w:r w:rsidR="008A0510">
        <w:rPr>
          <w:rFonts w:cs="TT2971O00"/>
          <w:color w:val="231F20"/>
          <w:sz w:val="20"/>
          <w:szCs w:val="20"/>
          <w:lang w:eastAsia="tr-TR"/>
        </w:rPr>
        <w:t xml:space="preserve">Rules and regulations imposed by the Competition Authority are strict and </w:t>
      </w:r>
      <w:r w:rsidR="00F7321C">
        <w:rPr>
          <w:rFonts w:cs="TT2971O00"/>
          <w:color w:val="231F20"/>
          <w:sz w:val="20"/>
          <w:szCs w:val="20"/>
          <w:lang w:eastAsia="tr-TR"/>
        </w:rPr>
        <w:t xml:space="preserve">mandatory. </w:t>
      </w:r>
      <w:r w:rsidR="008A0510">
        <w:rPr>
          <w:rFonts w:cs="TT2971O00"/>
          <w:color w:val="231F20"/>
          <w:sz w:val="20"/>
          <w:szCs w:val="20"/>
          <w:lang w:eastAsia="tr-TR"/>
        </w:rPr>
        <w:t>Moreover, f</w:t>
      </w:r>
      <w:r w:rsidR="00521AC9">
        <w:rPr>
          <w:rFonts w:cs="TT2971O00"/>
          <w:color w:val="231F20"/>
          <w:sz w:val="20"/>
          <w:szCs w:val="20"/>
          <w:lang w:eastAsia="tr-TR"/>
        </w:rPr>
        <w:t xml:space="preserve">oreign investors are protected and treated as equal to local investors by law. </w:t>
      </w:r>
    </w:p>
    <w:p w:rsidR="007366EE" w:rsidRPr="007366EE" w:rsidRDefault="007366EE" w:rsidP="007366EE">
      <w:pPr>
        <w:autoSpaceDE w:val="0"/>
        <w:autoSpaceDN w:val="0"/>
        <w:adjustRightInd w:val="0"/>
        <w:spacing w:after="0" w:line="240" w:lineRule="auto"/>
        <w:rPr>
          <w:rFonts w:cs="TT2971O00"/>
          <w:color w:val="231F20"/>
          <w:sz w:val="20"/>
          <w:szCs w:val="20"/>
          <w:lang w:eastAsia="tr-TR"/>
        </w:rPr>
      </w:pPr>
    </w:p>
    <w:p w:rsidR="00E23FF0" w:rsidRDefault="007366EE" w:rsidP="00E23FF0">
      <w:pPr>
        <w:autoSpaceDE w:val="0"/>
        <w:autoSpaceDN w:val="0"/>
        <w:adjustRightInd w:val="0"/>
        <w:spacing w:after="0" w:line="240" w:lineRule="auto"/>
        <w:rPr>
          <w:rFonts w:cs="TT296EO00"/>
          <w:color w:val="231F20"/>
          <w:sz w:val="20"/>
          <w:szCs w:val="20"/>
          <w:lang w:val="tr-TR" w:eastAsia="tr-TR"/>
        </w:rPr>
      </w:pPr>
      <w:r w:rsidRPr="007366EE">
        <w:rPr>
          <w:rFonts w:cs="TT296EO00"/>
          <w:color w:val="231F20"/>
          <w:sz w:val="20"/>
          <w:szCs w:val="20"/>
          <w:lang w:eastAsia="tr-TR"/>
        </w:rPr>
        <w:t xml:space="preserve">All these factors </w:t>
      </w:r>
      <w:r w:rsidR="00521AC9" w:rsidRPr="007366EE">
        <w:rPr>
          <w:rFonts w:cs="TT296EO00"/>
          <w:color w:val="231F20"/>
          <w:sz w:val="20"/>
          <w:szCs w:val="20"/>
          <w:lang w:eastAsia="tr-TR"/>
        </w:rPr>
        <w:t>create</w:t>
      </w:r>
      <w:r w:rsidRPr="007366EE">
        <w:rPr>
          <w:rFonts w:cs="TT296EO00"/>
          <w:color w:val="231F20"/>
          <w:sz w:val="20"/>
          <w:szCs w:val="20"/>
          <w:lang w:eastAsia="tr-TR"/>
        </w:rPr>
        <w:t xml:space="preserve"> highly lucrative investment opportunities for global and local investors. </w:t>
      </w:r>
      <w:r w:rsidR="00E23FF0" w:rsidRPr="00E23FF0">
        <w:rPr>
          <w:rFonts w:cs="TT296EO00"/>
          <w:color w:val="231F20"/>
          <w:sz w:val="20"/>
          <w:szCs w:val="20"/>
          <w:lang w:val="tr-TR" w:eastAsia="tr-TR"/>
        </w:rPr>
        <w:t>The opportunities for the industry arise from:</w:t>
      </w:r>
    </w:p>
    <w:p w:rsidR="00E23FF0" w:rsidRPr="00E23FF0" w:rsidRDefault="00E23FF0" w:rsidP="00E23FF0">
      <w:pPr>
        <w:autoSpaceDE w:val="0"/>
        <w:autoSpaceDN w:val="0"/>
        <w:adjustRightInd w:val="0"/>
        <w:spacing w:after="0" w:line="240" w:lineRule="auto"/>
        <w:rPr>
          <w:rFonts w:cs="TT296EO00"/>
          <w:color w:val="231F20"/>
          <w:sz w:val="20"/>
          <w:szCs w:val="20"/>
          <w:lang w:eastAsia="tr-TR"/>
        </w:rPr>
      </w:pPr>
    </w:p>
    <w:p w:rsidR="00E23FF0" w:rsidRDefault="00E23FF0" w:rsidP="00E23FF0">
      <w:pPr>
        <w:autoSpaceDE w:val="0"/>
        <w:autoSpaceDN w:val="0"/>
        <w:adjustRightInd w:val="0"/>
        <w:spacing w:after="0" w:line="240" w:lineRule="auto"/>
        <w:rPr>
          <w:rFonts w:cs="TT296EO00"/>
          <w:color w:val="231F20"/>
          <w:sz w:val="20"/>
          <w:szCs w:val="20"/>
          <w:lang w:val="tr-TR" w:eastAsia="tr-TR"/>
        </w:rPr>
      </w:pPr>
      <w:r w:rsidRPr="00E23FF0">
        <w:rPr>
          <w:rFonts w:cs="TT2971O00"/>
          <w:b/>
          <w:color w:val="231F20"/>
          <w:sz w:val="20"/>
          <w:szCs w:val="20"/>
          <w:lang w:val="tr-TR" w:eastAsia="tr-TR"/>
        </w:rPr>
        <w:lastRenderedPageBreak/>
        <w:t>Access to multiple sources of supply:</w:t>
      </w:r>
      <w:r w:rsidRPr="00E23FF0">
        <w:rPr>
          <w:rFonts w:cs="TT2971O00"/>
          <w:color w:val="231F20"/>
          <w:sz w:val="20"/>
          <w:szCs w:val="20"/>
          <w:lang w:val="tr-TR" w:eastAsia="tr-TR"/>
        </w:rPr>
        <w:t xml:space="preserve"> </w:t>
      </w:r>
      <w:r w:rsidRPr="00E23FF0">
        <w:rPr>
          <w:rFonts w:cs="TT296EO00"/>
          <w:color w:val="231F20"/>
          <w:sz w:val="20"/>
          <w:szCs w:val="20"/>
          <w:lang w:val="tr-TR" w:eastAsia="tr-TR"/>
        </w:rPr>
        <w:t>Turkey’s geographic location offers it a unique</w:t>
      </w:r>
      <w:r>
        <w:rPr>
          <w:rFonts w:cs="TT296EO00"/>
          <w:color w:val="231F20"/>
          <w:sz w:val="20"/>
          <w:szCs w:val="20"/>
          <w:lang w:val="tr-TR" w:eastAsia="tr-TR"/>
        </w:rPr>
        <w:t xml:space="preserve"> </w:t>
      </w:r>
      <w:r w:rsidRPr="00E23FF0">
        <w:rPr>
          <w:rFonts w:cs="TT296EO00"/>
          <w:color w:val="231F20"/>
          <w:sz w:val="20"/>
          <w:szCs w:val="20"/>
          <w:lang w:val="tr-TR" w:eastAsia="tr-TR"/>
        </w:rPr>
        <w:t>opportunity. Unlike most of the import-dependent European countries, due to its relative</w:t>
      </w:r>
      <w:r>
        <w:rPr>
          <w:rFonts w:cs="TT296EO00"/>
          <w:color w:val="231F20"/>
          <w:sz w:val="20"/>
          <w:szCs w:val="20"/>
          <w:lang w:val="tr-TR" w:eastAsia="tr-TR"/>
        </w:rPr>
        <w:t xml:space="preserve"> </w:t>
      </w:r>
      <w:r w:rsidRPr="00E23FF0">
        <w:rPr>
          <w:rFonts w:cs="TT296EO00"/>
          <w:color w:val="231F20"/>
          <w:sz w:val="20"/>
          <w:szCs w:val="20"/>
          <w:lang w:val="tr-TR" w:eastAsia="tr-TR"/>
        </w:rPr>
        <w:t>proximity to major gas producers, Turkey has a potential access to multiple sources of</w:t>
      </w:r>
      <w:r>
        <w:rPr>
          <w:rFonts w:cs="TT296EO00"/>
          <w:color w:val="231F20"/>
          <w:sz w:val="20"/>
          <w:szCs w:val="20"/>
          <w:lang w:val="tr-TR" w:eastAsia="tr-TR"/>
        </w:rPr>
        <w:t xml:space="preserve"> </w:t>
      </w:r>
      <w:r w:rsidRPr="00E23FF0">
        <w:rPr>
          <w:rFonts w:cs="TT296EO00"/>
          <w:color w:val="231F20"/>
          <w:sz w:val="20"/>
          <w:szCs w:val="20"/>
          <w:lang w:val="tr-TR" w:eastAsia="tr-TR"/>
        </w:rPr>
        <w:t>pipeline gas supply. Many countries in Eastern Europe have no supply choice, being</w:t>
      </w:r>
      <w:r>
        <w:rPr>
          <w:rFonts w:cs="TT296EO00"/>
          <w:color w:val="231F20"/>
          <w:sz w:val="20"/>
          <w:szCs w:val="20"/>
          <w:lang w:val="tr-TR" w:eastAsia="tr-TR"/>
        </w:rPr>
        <w:t xml:space="preserve"> </w:t>
      </w:r>
      <w:r w:rsidRPr="00E23FF0">
        <w:rPr>
          <w:rFonts w:cs="TT296EO00"/>
          <w:color w:val="231F20"/>
          <w:sz w:val="20"/>
          <w:szCs w:val="20"/>
          <w:lang w:val="tr-TR" w:eastAsia="tr-TR"/>
        </w:rPr>
        <w:t>locked in to a monopoly supplier (Gazprom)</w:t>
      </w:r>
      <w:r w:rsidRPr="00E23FF0">
        <w:rPr>
          <w:rFonts w:cs="TT2985O00"/>
          <w:color w:val="231F20"/>
          <w:sz w:val="20"/>
          <w:szCs w:val="20"/>
          <w:lang w:val="tr-TR" w:eastAsia="tr-TR"/>
        </w:rPr>
        <w:t xml:space="preserve">. </w:t>
      </w:r>
      <w:r w:rsidRPr="00E23FF0">
        <w:rPr>
          <w:rFonts w:cs="TT296EO00"/>
          <w:color w:val="231F20"/>
          <w:sz w:val="20"/>
          <w:szCs w:val="20"/>
          <w:lang w:val="tr-TR" w:eastAsia="tr-TR"/>
        </w:rPr>
        <w:t>Accessing these multiple sources could</w:t>
      </w:r>
      <w:r>
        <w:rPr>
          <w:rFonts w:cs="TT296EO00"/>
          <w:color w:val="231F20"/>
          <w:sz w:val="20"/>
          <w:szCs w:val="20"/>
          <w:lang w:val="tr-TR" w:eastAsia="tr-TR"/>
        </w:rPr>
        <w:t xml:space="preserve"> </w:t>
      </w:r>
      <w:r w:rsidRPr="00E23FF0">
        <w:rPr>
          <w:rFonts w:cs="TT296EO00"/>
          <w:color w:val="231F20"/>
          <w:sz w:val="20"/>
          <w:szCs w:val="20"/>
          <w:lang w:val="tr-TR" w:eastAsia="tr-TR"/>
        </w:rPr>
        <w:t>foster the creation of a competitive gas market in Turkey, as well as enhance its</w:t>
      </w:r>
      <w:r>
        <w:rPr>
          <w:rFonts w:cs="TT296EO00"/>
          <w:color w:val="231F20"/>
          <w:sz w:val="20"/>
          <w:szCs w:val="20"/>
          <w:lang w:val="tr-TR" w:eastAsia="tr-TR"/>
        </w:rPr>
        <w:t xml:space="preserve"> </w:t>
      </w:r>
      <w:r w:rsidR="0048377B">
        <w:rPr>
          <w:rFonts w:cs="TT296EO00"/>
          <w:color w:val="231F20"/>
          <w:sz w:val="20"/>
          <w:szCs w:val="20"/>
          <w:lang w:val="tr-TR" w:eastAsia="tr-TR"/>
        </w:rPr>
        <w:t>supply security.</w:t>
      </w:r>
    </w:p>
    <w:p w:rsidR="00E23FF0" w:rsidRPr="00E23FF0" w:rsidRDefault="00E23FF0" w:rsidP="00E23FF0">
      <w:pPr>
        <w:autoSpaceDE w:val="0"/>
        <w:autoSpaceDN w:val="0"/>
        <w:adjustRightInd w:val="0"/>
        <w:spacing w:after="0" w:line="240" w:lineRule="auto"/>
        <w:rPr>
          <w:rFonts w:cs="TT296EO00"/>
          <w:color w:val="231F20"/>
          <w:sz w:val="20"/>
          <w:szCs w:val="20"/>
          <w:lang w:val="tr-TR" w:eastAsia="tr-TR"/>
        </w:rPr>
      </w:pPr>
    </w:p>
    <w:p w:rsidR="00E23FF0" w:rsidRDefault="00E23FF0" w:rsidP="00E23FF0">
      <w:pPr>
        <w:autoSpaceDE w:val="0"/>
        <w:autoSpaceDN w:val="0"/>
        <w:adjustRightInd w:val="0"/>
        <w:spacing w:after="0" w:line="240" w:lineRule="auto"/>
        <w:rPr>
          <w:rFonts w:cs="TT296EO00"/>
          <w:color w:val="231F20"/>
          <w:sz w:val="20"/>
          <w:szCs w:val="20"/>
          <w:lang w:val="tr-TR" w:eastAsia="tr-TR"/>
        </w:rPr>
      </w:pPr>
      <w:r w:rsidRPr="00E23FF0">
        <w:rPr>
          <w:rFonts w:cs="TT2971O00"/>
          <w:b/>
          <w:color w:val="231F20"/>
          <w:sz w:val="20"/>
          <w:szCs w:val="20"/>
          <w:lang w:val="tr-TR" w:eastAsia="tr-TR"/>
        </w:rPr>
        <w:t>Turkey’s potential role as a transit corridor:</w:t>
      </w:r>
      <w:r w:rsidRPr="00E23FF0">
        <w:rPr>
          <w:rFonts w:cs="TT2971O00"/>
          <w:color w:val="231F20"/>
          <w:sz w:val="20"/>
          <w:szCs w:val="20"/>
          <w:lang w:val="tr-TR" w:eastAsia="tr-TR"/>
        </w:rPr>
        <w:t xml:space="preserve"> </w:t>
      </w:r>
      <w:r w:rsidRPr="00E23FF0">
        <w:rPr>
          <w:rFonts w:cs="TT296EO00"/>
          <w:color w:val="231F20"/>
          <w:sz w:val="20"/>
          <w:szCs w:val="20"/>
          <w:lang w:val="tr-TR" w:eastAsia="tr-TR"/>
        </w:rPr>
        <w:t>Turkey offers an overland route which</w:t>
      </w:r>
      <w:r>
        <w:rPr>
          <w:rFonts w:cs="TT296EO00"/>
          <w:color w:val="231F20"/>
          <w:sz w:val="20"/>
          <w:szCs w:val="20"/>
          <w:lang w:val="tr-TR" w:eastAsia="tr-TR"/>
        </w:rPr>
        <w:t xml:space="preserve"> </w:t>
      </w:r>
      <w:r w:rsidRPr="00E23FF0">
        <w:rPr>
          <w:rFonts w:cs="TT296EO00"/>
          <w:color w:val="231F20"/>
          <w:sz w:val="20"/>
          <w:szCs w:val="20"/>
          <w:lang w:val="tr-TR" w:eastAsia="tr-TR"/>
        </w:rPr>
        <w:t>can bring together gas producers in the Caucasus and the Middle East and gas markets</w:t>
      </w:r>
      <w:r>
        <w:rPr>
          <w:rFonts w:cs="TT296EO00"/>
          <w:color w:val="231F20"/>
          <w:sz w:val="20"/>
          <w:szCs w:val="20"/>
          <w:lang w:val="tr-TR" w:eastAsia="tr-TR"/>
        </w:rPr>
        <w:t xml:space="preserve"> </w:t>
      </w:r>
      <w:r w:rsidRPr="00E23FF0">
        <w:rPr>
          <w:rFonts w:cs="TT296EO00"/>
          <w:color w:val="231F20"/>
          <w:sz w:val="20"/>
          <w:szCs w:val="20"/>
          <w:lang w:val="tr-TR" w:eastAsia="tr-TR"/>
        </w:rPr>
        <w:t>in southern and central Europe. Routes through Turkey offer Iran (and, later, Iraq and</w:t>
      </w:r>
      <w:r>
        <w:rPr>
          <w:rFonts w:cs="TT296EO00"/>
          <w:color w:val="231F20"/>
          <w:sz w:val="20"/>
          <w:szCs w:val="20"/>
          <w:lang w:val="tr-TR" w:eastAsia="tr-TR"/>
        </w:rPr>
        <w:t xml:space="preserve"> </w:t>
      </w:r>
      <w:r w:rsidRPr="00E23FF0">
        <w:rPr>
          <w:rFonts w:cs="TT296EO00"/>
          <w:color w:val="231F20"/>
          <w:sz w:val="20"/>
          <w:szCs w:val="20"/>
          <w:lang w:val="tr-TR" w:eastAsia="tr-TR"/>
        </w:rPr>
        <w:t>possibly Syria) a pipeline option for exports to Europe. They give the Caucasus (and,</w:t>
      </w:r>
      <w:r>
        <w:rPr>
          <w:rFonts w:cs="TT296EO00"/>
          <w:color w:val="231F20"/>
          <w:sz w:val="20"/>
          <w:szCs w:val="20"/>
          <w:lang w:val="tr-TR" w:eastAsia="tr-TR"/>
        </w:rPr>
        <w:t xml:space="preserve"> </w:t>
      </w:r>
      <w:r w:rsidRPr="00E23FF0">
        <w:rPr>
          <w:rFonts w:cs="TT296EO00"/>
          <w:color w:val="231F20"/>
          <w:sz w:val="20"/>
          <w:szCs w:val="20"/>
          <w:lang w:val="tr-TR" w:eastAsia="tr-TR"/>
        </w:rPr>
        <w:t>later, Central Asia) a strategic alternative to routes through its major competitor, Russia.</w:t>
      </w:r>
      <w:r>
        <w:rPr>
          <w:rFonts w:cs="TT296EO00"/>
          <w:color w:val="231F20"/>
          <w:sz w:val="20"/>
          <w:szCs w:val="20"/>
          <w:lang w:val="tr-TR" w:eastAsia="tr-TR"/>
        </w:rPr>
        <w:t xml:space="preserve"> </w:t>
      </w:r>
      <w:r w:rsidRPr="00E23FF0">
        <w:rPr>
          <w:rFonts w:cs="TT296EO00"/>
          <w:color w:val="231F20"/>
          <w:sz w:val="20"/>
          <w:szCs w:val="20"/>
          <w:lang w:val="tr-TR" w:eastAsia="tr-TR"/>
        </w:rPr>
        <w:t xml:space="preserve">They offer European markets a fourth major supply source </w:t>
      </w:r>
      <w:r w:rsidR="008A50C2">
        <w:rPr>
          <w:rFonts w:cs="TT296EO00"/>
          <w:color w:val="231F20"/>
          <w:sz w:val="20"/>
          <w:szCs w:val="20"/>
          <w:lang w:val="tr-TR" w:eastAsia="tr-TR"/>
        </w:rPr>
        <w:t>(to Algeria, Norway and Russia).</w:t>
      </w:r>
    </w:p>
    <w:p w:rsidR="00E23FF0" w:rsidRPr="00E23FF0" w:rsidRDefault="00E23FF0" w:rsidP="00E23FF0">
      <w:pPr>
        <w:autoSpaceDE w:val="0"/>
        <w:autoSpaceDN w:val="0"/>
        <w:adjustRightInd w:val="0"/>
        <w:spacing w:after="0" w:line="240" w:lineRule="auto"/>
        <w:rPr>
          <w:rFonts w:cs="TT296EO00"/>
          <w:color w:val="231F20"/>
          <w:sz w:val="20"/>
          <w:szCs w:val="20"/>
          <w:lang w:val="tr-TR" w:eastAsia="tr-TR"/>
        </w:rPr>
      </w:pPr>
    </w:p>
    <w:p w:rsidR="00922BFE" w:rsidRDefault="00E23FF0" w:rsidP="00E23FF0">
      <w:pPr>
        <w:autoSpaceDE w:val="0"/>
        <w:autoSpaceDN w:val="0"/>
        <w:adjustRightInd w:val="0"/>
        <w:spacing w:after="0" w:line="240" w:lineRule="auto"/>
        <w:rPr>
          <w:rFonts w:cs="TT296EO00"/>
          <w:color w:val="231F20"/>
          <w:sz w:val="20"/>
          <w:szCs w:val="20"/>
          <w:lang w:val="tr-TR" w:eastAsia="tr-TR"/>
        </w:rPr>
      </w:pPr>
      <w:r w:rsidRPr="00E23FF0">
        <w:rPr>
          <w:rFonts w:cs="TT2971O00"/>
          <w:b/>
          <w:color w:val="231F20"/>
          <w:sz w:val="20"/>
          <w:szCs w:val="20"/>
          <w:lang w:val="tr-TR" w:eastAsia="tr-TR"/>
        </w:rPr>
        <w:t>Potential for social and economic improvement:</w:t>
      </w:r>
      <w:r w:rsidRPr="00E23FF0">
        <w:rPr>
          <w:rFonts w:cs="TT2971O00"/>
          <w:color w:val="231F20"/>
          <w:sz w:val="20"/>
          <w:szCs w:val="20"/>
          <w:lang w:val="tr-TR" w:eastAsia="tr-TR"/>
        </w:rPr>
        <w:t xml:space="preserve"> </w:t>
      </w:r>
      <w:r w:rsidRPr="00E23FF0">
        <w:rPr>
          <w:rFonts w:cs="TT296EO00"/>
          <w:color w:val="231F20"/>
          <w:sz w:val="20"/>
          <w:szCs w:val="20"/>
          <w:lang w:val="tr-TR" w:eastAsia="tr-TR"/>
        </w:rPr>
        <w:t>Usage of gas can be extended,</w:t>
      </w:r>
      <w:r>
        <w:rPr>
          <w:rFonts w:cs="TT296EO00"/>
          <w:color w:val="231F20"/>
          <w:sz w:val="20"/>
          <w:szCs w:val="20"/>
          <w:lang w:val="tr-TR" w:eastAsia="tr-TR"/>
        </w:rPr>
        <w:t xml:space="preserve"> </w:t>
      </w:r>
      <w:r w:rsidRPr="00E23FF0">
        <w:rPr>
          <w:rFonts w:cs="TT296EO00"/>
          <w:color w:val="231F20"/>
          <w:sz w:val="20"/>
          <w:szCs w:val="20"/>
          <w:lang w:val="tr-TR" w:eastAsia="tr-TR"/>
        </w:rPr>
        <w:t>ensuring better quality of air, life and health in many cities, and lowered production costs</w:t>
      </w:r>
      <w:r>
        <w:rPr>
          <w:rFonts w:cs="TT296EO00"/>
          <w:color w:val="231F20"/>
          <w:sz w:val="20"/>
          <w:szCs w:val="20"/>
          <w:lang w:val="tr-TR" w:eastAsia="tr-TR"/>
        </w:rPr>
        <w:t xml:space="preserve"> </w:t>
      </w:r>
      <w:r w:rsidRPr="00E23FF0">
        <w:rPr>
          <w:rFonts w:cs="TT296EO00"/>
          <w:color w:val="231F20"/>
          <w:sz w:val="20"/>
          <w:szCs w:val="20"/>
          <w:lang w:val="tr-TR" w:eastAsia="tr-TR"/>
        </w:rPr>
        <w:t>for industry, assisting Turkey’s export competitiveness. The use of gas for electricity</w:t>
      </w:r>
      <w:r>
        <w:rPr>
          <w:rFonts w:cs="TT296EO00"/>
          <w:color w:val="231F20"/>
          <w:sz w:val="20"/>
          <w:szCs w:val="20"/>
          <w:lang w:val="tr-TR" w:eastAsia="tr-TR"/>
        </w:rPr>
        <w:t xml:space="preserve"> </w:t>
      </w:r>
      <w:r w:rsidRPr="00E23FF0">
        <w:rPr>
          <w:rFonts w:cs="TT296EO00"/>
          <w:color w:val="231F20"/>
          <w:sz w:val="20"/>
          <w:szCs w:val="20"/>
          <w:lang w:val="tr-TR" w:eastAsia="tr-TR"/>
        </w:rPr>
        <w:t>generation can, and has reduced</w:t>
      </w:r>
      <w:r w:rsidR="00C67BA8">
        <w:rPr>
          <w:rFonts w:cs="TT296EO00"/>
          <w:color w:val="231F20"/>
          <w:sz w:val="20"/>
          <w:szCs w:val="20"/>
          <w:lang w:val="tr-TR" w:eastAsia="tr-TR"/>
        </w:rPr>
        <w:t>, the Government of Turkey</w:t>
      </w:r>
      <w:r w:rsidRPr="00E23FF0">
        <w:rPr>
          <w:rFonts w:cs="TT296EO00"/>
          <w:color w:val="231F20"/>
          <w:sz w:val="20"/>
          <w:szCs w:val="20"/>
          <w:lang w:val="tr-TR" w:eastAsia="tr-TR"/>
        </w:rPr>
        <w:t xml:space="preserve"> budgetary needs on</w:t>
      </w:r>
      <w:r>
        <w:rPr>
          <w:rFonts w:cs="TT296EO00"/>
          <w:color w:val="231F20"/>
          <w:sz w:val="20"/>
          <w:szCs w:val="20"/>
          <w:lang w:val="tr-TR" w:eastAsia="tr-TR"/>
        </w:rPr>
        <w:t xml:space="preserve"> </w:t>
      </w:r>
      <w:r w:rsidRPr="00E23FF0">
        <w:rPr>
          <w:rFonts w:cs="TT296EO00"/>
          <w:color w:val="231F20"/>
          <w:sz w:val="20"/>
          <w:szCs w:val="20"/>
          <w:lang w:val="tr-TR" w:eastAsia="tr-TR"/>
        </w:rPr>
        <w:t>behalf of traditional (hydro) electr</w:t>
      </w:r>
      <w:r>
        <w:rPr>
          <w:rFonts w:cs="TT296EO00"/>
          <w:color w:val="231F20"/>
          <w:sz w:val="20"/>
          <w:szCs w:val="20"/>
          <w:lang w:val="tr-TR" w:eastAsia="tr-TR"/>
        </w:rPr>
        <w:t>ic development.</w:t>
      </w:r>
    </w:p>
    <w:p w:rsidR="00E23FF0" w:rsidRDefault="00E23FF0" w:rsidP="00E23FF0">
      <w:pPr>
        <w:autoSpaceDE w:val="0"/>
        <w:autoSpaceDN w:val="0"/>
        <w:adjustRightInd w:val="0"/>
        <w:spacing w:after="0" w:line="240" w:lineRule="auto"/>
        <w:rPr>
          <w:rFonts w:cs="TT296EO00"/>
          <w:color w:val="231F20"/>
          <w:sz w:val="20"/>
          <w:szCs w:val="20"/>
          <w:lang w:val="tr-TR" w:eastAsia="tr-TR"/>
        </w:rPr>
      </w:pPr>
    </w:p>
    <w:p w:rsidR="00093184" w:rsidRPr="00093184" w:rsidRDefault="00093184" w:rsidP="00093184">
      <w:pPr>
        <w:autoSpaceDE w:val="0"/>
        <w:autoSpaceDN w:val="0"/>
        <w:adjustRightInd w:val="0"/>
        <w:spacing w:after="0" w:line="240" w:lineRule="auto"/>
        <w:rPr>
          <w:rFonts w:cs="TT296EO00"/>
          <w:color w:val="231F20"/>
          <w:sz w:val="20"/>
          <w:szCs w:val="20"/>
          <w:lang w:val="tr-TR" w:eastAsia="tr-TR"/>
        </w:rPr>
      </w:pPr>
      <w:r w:rsidRPr="00093184">
        <w:rPr>
          <w:rFonts w:cs="Futura-Heavy"/>
          <w:b/>
          <w:bCs/>
          <w:color w:val="231F20"/>
          <w:sz w:val="20"/>
          <w:szCs w:val="20"/>
          <w:lang w:val="tr-TR" w:eastAsia="tr-TR"/>
        </w:rPr>
        <w:t>Potential to mobilize domestic and international capital and entrepreneurship in a</w:t>
      </w:r>
      <w:r>
        <w:rPr>
          <w:rFonts w:cs="Futura-Heavy"/>
          <w:b/>
          <w:bCs/>
          <w:color w:val="231F20"/>
          <w:sz w:val="20"/>
          <w:szCs w:val="20"/>
          <w:lang w:val="tr-TR" w:eastAsia="tr-TR"/>
        </w:rPr>
        <w:t xml:space="preserve"> </w:t>
      </w:r>
      <w:r w:rsidRPr="00093184">
        <w:rPr>
          <w:rFonts w:cs="Futura-Heavy"/>
          <w:b/>
          <w:bCs/>
          <w:color w:val="231F20"/>
          <w:sz w:val="20"/>
          <w:szCs w:val="20"/>
          <w:lang w:val="tr-TR" w:eastAsia="tr-TR"/>
        </w:rPr>
        <w:t xml:space="preserve">restructured, expanding gas sector: </w:t>
      </w:r>
      <w:r w:rsidRPr="00093184">
        <w:rPr>
          <w:rFonts w:cs="TT296EO00"/>
          <w:color w:val="231F20"/>
          <w:sz w:val="20"/>
          <w:szCs w:val="20"/>
          <w:lang w:val="tr-TR" w:eastAsia="tr-TR"/>
        </w:rPr>
        <w:t>Turkish investors have responded vigorously to the</w:t>
      </w:r>
      <w:r>
        <w:rPr>
          <w:rFonts w:cs="TT296EO00"/>
          <w:color w:val="231F20"/>
          <w:sz w:val="20"/>
          <w:szCs w:val="20"/>
          <w:lang w:val="tr-TR" w:eastAsia="tr-TR"/>
        </w:rPr>
        <w:t xml:space="preserve"> </w:t>
      </w:r>
      <w:r w:rsidRPr="00093184">
        <w:rPr>
          <w:rFonts w:cs="TT296EO00"/>
          <w:color w:val="231F20"/>
          <w:sz w:val="20"/>
          <w:szCs w:val="20"/>
          <w:lang w:val="tr-TR" w:eastAsia="tr-TR"/>
        </w:rPr>
        <w:t>opportunities created by the offer of new gas distribution franchisees and by the</w:t>
      </w:r>
      <w:r>
        <w:rPr>
          <w:rFonts w:cs="TT296EO00"/>
          <w:color w:val="231F20"/>
          <w:sz w:val="20"/>
          <w:szCs w:val="20"/>
          <w:lang w:val="tr-TR" w:eastAsia="tr-TR"/>
        </w:rPr>
        <w:t xml:space="preserve"> </w:t>
      </w:r>
      <w:r w:rsidRPr="00093184">
        <w:rPr>
          <w:rFonts w:cs="TT296EO00"/>
          <w:color w:val="231F20"/>
          <w:sz w:val="20"/>
          <w:szCs w:val="20"/>
          <w:lang w:val="tr-TR" w:eastAsia="tr-TR"/>
        </w:rPr>
        <w:t>privatization of certain existing distribution networks. International gas industry investors</w:t>
      </w:r>
    </w:p>
    <w:p w:rsidR="00E23FF0" w:rsidRPr="00093184" w:rsidRDefault="00093184" w:rsidP="00093184">
      <w:pPr>
        <w:autoSpaceDE w:val="0"/>
        <w:autoSpaceDN w:val="0"/>
        <w:adjustRightInd w:val="0"/>
        <w:spacing w:after="0" w:line="240" w:lineRule="auto"/>
        <w:rPr>
          <w:rFonts w:cs="TT296EO00"/>
          <w:color w:val="231F20"/>
          <w:sz w:val="20"/>
          <w:szCs w:val="20"/>
          <w:lang w:val="tr-TR" w:eastAsia="tr-TR"/>
        </w:rPr>
      </w:pPr>
      <w:r w:rsidRPr="00093184">
        <w:rPr>
          <w:rFonts w:cs="TT296EO00"/>
          <w:color w:val="231F20"/>
          <w:sz w:val="20"/>
          <w:szCs w:val="20"/>
          <w:lang w:val="tr-TR" w:eastAsia="tr-TR"/>
        </w:rPr>
        <w:t>maintain a presence in Turkey and, along with Turkish entrepreneurs, are likely to be</w:t>
      </w:r>
      <w:r>
        <w:rPr>
          <w:rFonts w:cs="TT296EO00"/>
          <w:color w:val="231F20"/>
          <w:sz w:val="20"/>
          <w:szCs w:val="20"/>
          <w:lang w:val="tr-TR" w:eastAsia="tr-TR"/>
        </w:rPr>
        <w:t xml:space="preserve"> </w:t>
      </w:r>
      <w:r w:rsidRPr="00093184">
        <w:rPr>
          <w:rFonts w:cs="TT296EO00"/>
          <w:color w:val="231F20"/>
          <w:sz w:val="20"/>
          <w:szCs w:val="20"/>
          <w:lang w:val="tr-TR" w:eastAsia="tr-TR"/>
        </w:rPr>
        <w:t>attracted to invest as new opportunities arise, for example, in gas wholesaling, regional</w:t>
      </w:r>
      <w:r>
        <w:rPr>
          <w:rFonts w:cs="TT296EO00"/>
          <w:color w:val="231F20"/>
          <w:sz w:val="20"/>
          <w:szCs w:val="20"/>
          <w:lang w:val="tr-TR" w:eastAsia="tr-TR"/>
        </w:rPr>
        <w:t xml:space="preserve"> </w:t>
      </w:r>
      <w:r w:rsidRPr="00093184">
        <w:rPr>
          <w:rFonts w:cs="TT296EO00"/>
          <w:color w:val="231F20"/>
          <w:sz w:val="20"/>
          <w:szCs w:val="20"/>
          <w:lang w:val="tr-TR" w:eastAsia="tr-TR"/>
        </w:rPr>
        <w:t>pipelines and, eventually, in new gas imports.</w:t>
      </w:r>
    </w:p>
    <w:p w:rsidR="00922BFE" w:rsidRPr="007366EE" w:rsidRDefault="00922BFE" w:rsidP="00CE0266">
      <w:pPr>
        <w:spacing w:after="0"/>
        <w:jc w:val="center"/>
        <w:rPr>
          <w:rFonts w:cs="CenturyGothic"/>
          <w:b/>
          <w:sz w:val="20"/>
          <w:szCs w:val="20"/>
          <w:lang w:eastAsia="tr-TR"/>
        </w:rPr>
      </w:pPr>
    </w:p>
    <w:p w:rsidR="00E1005D" w:rsidRPr="007366EE" w:rsidRDefault="00E1005D"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Although natural gas imports of Turkey are adequate and even more than the need; problems that happen from time to time arise from the lack of storing facility to compensate short-time interruptions in the supply. Natural gas storages have an important role for ensuring supply assurance in a consumption center at the scale of Turkey. Projects to store significant amounts of natural gas within salt layers under </w:t>
      </w:r>
      <w:proofErr w:type="spellStart"/>
      <w:r w:rsidRPr="007366EE">
        <w:rPr>
          <w:rFonts w:cs="CenturyGothic"/>
          <w:sz w:val="20"/>
          <w:szCs w:val="20"/>
          <w:lang w:eastAsia="tr-TR"/>
        </w:rPr>
        <w:t>Silivri</w:t>
      </w:r>
      <w:proofErr w:type="spellEnd"/>
      <w:r w:rsidRPr="007366EE">
        <w:rPr>
          <w:rFonts w:cs="CenturyGothic"/>
          <w:sz w:val="20"/>
          <w:szCs w:val="20"/>
          <w:lang w:eastAsia="tr-TR"/>
        </w:rPr>
        <w:t xml:space="preserve"> and Salt Lakes are going on.</w:t>
      </w:r>
    </w:p>
    <w:p w:rsidR="00E1005D" w:rsidRPr="007366EE" w:rsidRDefault="00E1005D" w:rsidP="00CE0266">
      <w:pPr>
        <w:autoSpaceDE w:val="0"/>
        <w:autoSpaceDN w:val="0"/>
        <w:adjustRightInd w:val="0"/>
        <w:spacing w:after="0"/>
        <w:rPr>
          <w:rFonts w:cs="CenturyGothic"/>
          <w:sz w:val="20"/>
          <w:szCs w:val="20"/>
          <w:lang w:eastAsia="tr-TR"/>
        </w:rPr>
      </w:pPr>
    </w:p>
    <w:p w:rsidR="00E1005D" w:rsidRPr="007366EE" w:rsidRDefault="00E1005D"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It is anticipated to eliminate dominant situation of BOTAS, which had the monopoly on import, transportation (excluding local distribution), sale and pricing of natural gas in accordance with the Decree Law on Use of Natural Gas of April 1990 No. 397, on import and wholesale of natural gas until 2009 in accordance with provisional article 2 of the Natural Gas Market Law No. 4646 that was adopted on April 18th, 2001.</w:t>
      </w:r>
    </w:p>
    <w:p w:rsidR="00E1005D" w:rsidRPr="007366EE" w:rsidRDefault="00E1005D" w:rsidP="00CE0266">
      <w:pPr>
        <w:autoSpaceDE w:val="0"/>
        <w:autoSpaceDN w:val="0"/>
        <w:adjustRightInd w:val="0"/>
        <w:spacing w:after="0"/>
        <w:rPr>
          <w:rFonts w:cs="CenturyGothic"/>
          <w:sz w:val="20"/>
          <w:szCs w:val="20"/>
          <w:lang w:eastAsia="tr-TR"/>
        </w:rPr>
      </w:pPr>
    </w:p>
    <w:p w:rsidR="004D428F" w:rsidRPr="007366EE" w:rsidRDefault="004D428F"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392378" w:rsidRDefault="00392378" w:rsidP="00CE0266">
      <w:pPr>
        <w:autoSpaceDE w:val="0"/>
        <w:autoSpaceDN w:val="0"/>
        <w:adjustRightInd w:val="0"/>
        <w:spacing w:after="0"/>
        <w:jc w:val="center"/>
        <w:rPr>
          <w:rFonts w:cs="CenturyGothic"/>
          <w:b/>
          <w:sz w:val="20"/>
          <w:szCs w:val="20"/>
          <w:lang w:eastAsia="tr-TR"/>
        </w:rPr>
      </w:pPr>
    </w:p>
    <w:p w:rsidR="00E1005D" w:rsidRPr="007366EE" w:rsidRDefault="00B875D1" w:rsidP="00CE0266">
      <w:pPr>
        <w:autoSpaceDE w:val="0"/>
        <w:autoSpaceDN w:val="0"/>
        <w:adjustRightInd w:val="0"/>
        <w:spacing w:after="0"/>
        <w:jc w:val="center"/>
        <w:rPr>
          <w:rFonts w:cs="CenturyGothic"/>
          <w:b/>
          <w:sz w:val="20"/>
          <w:szCs w:val="20"/>
          <w:lang w:eastAsia="tr-TR"/>
        </w:rPr>
      </w:pPr>
      <w:r w:rsidRPr="007366EE">
        <w:rPr>
          <w:rFonts w:cs="CenturyGothic"/>
          <w:b/>
          <w:sz w:val="20"/>
          <w:szCs w:val="20"/>
          <w:lang w:eastAsia="tr-TR"/>
        </w:rPr>
        <w:lastRenderedPageBreak/>
        <w:t>Releva</w:t>
      </w:r>
      <w:r>
        <w:rPr>
          <w:rFonts w:cs="CenturyGothic"/>
          <w:b/>
          <w:sz w:val="20"/>
          <w:szCs w:val="20"/>
          <w:lang w:eastAsia="tr-TR"/>
        </w:rPr>
        <w:t>nt Law a</w:t>
      </w:r>
      <w:r w:rsidRPr="007366EE">
        <w:rPr>
          <w:rFonts w:cs="CenturyGothic"/>
          <w:b/>
          <w:sz w:val="20"/>
          <w:szCs w:val="20"/>
          <w:lang w:eastAsia="tr-TR"/>
        </w:rPr>
        <w:t>nd Regulations</w:t>
      </w:r>
    </w:p>
    <w:p w:rsidR="00F56AB7" w:rsidRPr="007366EE" w:rsidRDefault="00F56AB7" w:rsidP="00CE0266">
      <w:pPr>
        <w:autoSpaceDE w:val="0"/>
        <w:autoSpaceDN w:val="0"/>
        <w:adjustRightInd w:val="0"/>
        <w:spacing w:after="0"/>
        <w:rPr>
          <w:rFonts w:cs="CenturyGothic"/>
          <w:sz w:val="20"/>
          <w:szCs w:val="20"/>
          <w:lang w:eastAsia="tr-TR"/>
        </w:rPr>
      </w:pPr>
    </w:p>
    <w:p w:rsidR="00F56AB7" w:rsidRPr="007366EE" w:rsidRDefault="00F56AB7" w:rsidP="00CE0266">
      <w:pPr>
        <w:autoSpaceDE w:val="0"/>
        <w:autoSpaceDN w:val="0"/>
        <w:adjustRightInd w:val="0"/>
        <w:spacing w:after="0"/>
        <w:jc w:val="center"/>
        <w:rPr>
          <w:rFonts w:cs="CenturyGothic"/>
          <w:b/>
          <w:sz w:val="20"/>
          <w:szCs w:val="20"/>
          <w:lang w:eastAsia="tr-TR"/>
        </w:rPr>
      </w:pPr>
      <w:r w:rsidRPr="007366EE">
        <w:rPr>
          <w:rFonts w:cs="CenturyGothic"/>
          <w:b/>
          <w:sz w:val="20"/>
          <w:szCs w:val="20"/>
          <w:lang w:eastAsia="tr-TR"/>
        </w:rPr>
        <w:t>Natural Gas Market Law No. 4646</w:t>
      </w:r>
    </w:p>
    <w:p w:rsidR="00F56AB7" w:rsidRPr="007366EE" w:rsidRDefault="00F56AB7"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Following the Electricity Market Law, which was adopted on April 20th, 2002 to form and arrange electricity markets in Turkey, the Natural Gas Market Law No. 4646, which specifies outlines of operation of Turkish Natural Gas Market, was adopted on April 18th, 2001.</w:t>
      </w:r>
    </w:p>
    <w:p w:rsidR="00F56AB7" w:rsidRPr="007366EE" w:rsidRDefault="00F56AB7" w:rsidP="00CE0266">
      <w:pPr>
        <w:autoSpaceDE w:val="0"/>
        <w:autoSpaceDN w:val="0"/>
        <w:adjustRightInd w:val="0"/>
        <w:spacing w:after="0"/>
        <w:rPr>
          <w:rFonts w:cs="CenturyGothic"/>
          <w:sz w:val="20"/>
          <w:szCs w:val="20"/>
          <w:lang w:eastAsia="tr-TR"/>
        </w:rPr>
      </w:pPr>
    </w:p>
    <w:p w:rsidR="003005CB" w:rsidRPr="007366EE" w:rsidRDefault="00F56AB7"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Purpose of the law is “to create a financially strong, stable and transparent natural gas market via liberalization of the natural gas market in order to provide consumers with high-quality, permanent, cheap natural gas within the framework of competitive principles and to ensure independent arrangement and supervision in the market”. </w:t>
      </w:r>
    </w:p>
    <w:p w:rsidR="00F56AB7" w:rsidRPr="007366EE" w:rsidRDefault="00F56AB7" w:rsidP="00CE0266">
      <w:pPr>
        <w:autoSpaceDE w:val="0"/>
        <w:autoSpaceDN w:val="0"/>
        <w:adjustRightInd w:val="0"/>
        <w:spacing w:after="0"/>
        <w:rPr>
          <w:rFonts w:cs="CenturyGothic"/>
          <w:sz w:val="20"/>
          <w:szCs w:val="20"/>
          <w:lang w:eastAsia="tr-TR"/>
        </w:rPr>
      </w:pPr>
    </w:p>
    <w:p w:rsidR="00F56AB7" w:rsidRPr="007366EE" w:rsidRDefault="00F56AB7"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Expropriation operations to be performed regarding natural gas activities shall be</w:t>
      </w:r>
      <w:r w:rsidR="003005CB" w:rsidRPr="007366EE">
        <w:rPr>
          <w:rFonts w:cs="CenturyGothic"/>
          <w:sz w:val="20"/>
          <w:szCs w:val="20"/>
          <w:lang w:eastAsia="tr-TR"/>
        </w:rPr>
        <w:t xml:space="preserve"> </w:t>
      </w:r>
      <w:r w:rsidRPr="007366EE">
        <w:rPr>
          <w:rFonts w:cs="CenturyGothic"/>
          <w:sz w:val="20"/>
          <w:szCs w:val="20"/>
          <w:lang w:eastAsia="tr-TR"/>
        </w:rPr>
        <w:t>carried out in accordance with the provisions “Expropriation; shall be made within</w:t>
      </w:r>
      <w:r w:rsidR="003005CB" w:rsidRPr="007366EE">
        <w:rPr>
          <w:rFonts w:cs="CenturyGothic"/>
          <w:sz w:val="20"/>
          <w:szCs w:val="20"/>
          <w:lang w:eastAsia="tr-TR"/>
        </w:rPr>
        <w:t xml:space="preserve"> </w:t>
      </w:r>
      <w:r w:rsidRPr="007366EE">
        <w:rPr>
          <w:rFonts w:cs="CenturyGothic"/>
          <w:sz w:val="20"/>
          <w:szCs w:val="20"/>
          <w:lang w:eastAsia="tr-TR"/>
        </w:rPr>
        <w:t>the scope of the principles specified in the expropriation law of 4.11.1983 No. 2942 in</w:t>
      </w:r>
      <w:r w:rsidR="003005CB" w:rsidRPr="007366EE">
        <w:rPr>
          <w:rFonts w:cs="CenturyGothic"/>
          <w:sz w:val="20"/>
          <w:szCs w:val="20"/>
          <w:lang w:eastAsia="tr-TR"/>
        </w:rPr>
        <w:t xml:space="preserve"> </w:t>
      </w:r>
      <w:r w:rsidRPr="007366EE">
        <w:rPr>
          <w:rFonts w:cs="CenturyGothic"/>
          <w:sz w:val="20"/>
          <w:szCs w:val="20"/>
          <w:lang w:eastAsia="tr-TR"/>
        </w:rPr>
        <w:t>case where operations prescribed in this law require to do so. Requirement decision</w:t>
      </w:r>
      <w:r w:rsidR="003005CB" w:rsidRPr="007366EE">
        <w:rPr>
          <w:rFonts w:cs="CenturyGothic"/>
          <w:sz w:val="20"/>
          <w:szCs w:val="20"/>
          <w:lang w:eastAsia="tr-TR"/>
        </w:rPr>
        <w:t xml:space="preserve"> </w:t>
      </w:r>
      <w:r w:rsidRPr="007366EE">
        <w:rPr>
          <w:rFonts w:cs="CenturyGothic"/>
          <w:sz w:val="20"/>
          <w:szCs w:val="20"/>
          <w:lang w:eastAsia="tr-TR"/>
        </w:rPr>
        <w:t>to be taken by the board regarding this issue shall be considered as public interest</w:t>
      </w:r>
      <w:r w:rsidR="003005CB" w:rsidRPr="007366EE">
        <w:rPr>
          <w:rFonts w:cs="CenturyGothic"/>
          <w:sz w:val="20"/>
          <w:szCs w:val="20"/>
          <w:lang w:eastAsia="tr-TR"/>
        </w:rPr>
        <w:t xml:space="preserve"> </w:t>
      </w:r>
      <w:r w:rsidRPr="007366EE">
        <w:rPr>
          <w:rFonts w:cs="CenturyGothic"/>
          <w:sz w:val="20"/>
          <w:szCs w:val="20"/>
          <w:lang w:eastAsia="tr-TR"/>
        </w:rPr>
        <w:t>decision and following transactions shall be carried out in</w:t>
      </w:r>
      <w:r w:rsidR="003005CB" w:rsidRPr="007366EE">
        <w:rPr>
          <w:rFonts w:cs="CenturyGothic"/>
          <w:sz w:val="20"/>
          <w:szCs w:val="20"/>
          <w:lang w:eastAsia="tr-TR"/>
        </w:rPr>
        <w:t xml:space="preserve"> </w:t>
      </w:r>
      <w:r w:rsidRPr="007366EE">
        <w:rPr>
          <w:rFonts w:cs="CenturyGothic"/>
          <w:sz w:val="20"/>
          <w:szCs w:val="20"/>
          <w:lang w:eastAsia="tr-TR"/>
        </w:rPr>
        <w:t>accordance with the</w:t>
      </w:r>
      <w:r w:rsidR="003005CB" w:rsidRPr="007366EE">
        <w:rPr>
          <w:rFonts w:cs="CenturyGothic"/>
          <w:sz w:val="20"/>
          <w:szCs w:val="20"/>
          <w:lang w:eastAsia="tr-TR"/>
        </w:rPr>
        <w:t xml:space="preserve"> </w:t>
      </w:r>
      <w:r w:rsidRPr="007366EE">
        <w:rPr>
          <w:rFonts w:cs="CenturyGothic"/>
          <w:sz w:val="20"/>
          <w:szCs w:val="20"/>
          <w:lang w:eastAsia="tr-TR"/>
        </w:rPr>
        <w:t>provisions of the expropriation law. O</w:t>
      </w:r>
      <w:r w:rsidR="003005CB" w:rsidRPr="007366EE">
        <w:rPr>
          <w:rFonts w:cs="CenturyGothic"/>
          <w:sz w:val="20"/>
          <w:szCs w:val="20"/>
          <w:lang w:eastAsia="tr-TR"/>
        </w:rPr>
        <w:t xml:space="preserve">wnership of the immovable asset </w:t>
      </w:r>
      <w:r w:rsidRPr="007366EE">
        <w:rPr>
          <w:rFonts w:cs="CenturyGothic"/>
          <w:sz w:val="20"/>
          <w:szCs w:val="20"/>
          <w:lang w:eastAsia="tr-TR"/>
        </w:rPr>
        <w:t>expropriated</w:t>
      </w:r>
      <w:r w:rsidR="003005CB" w:rsidRPr="007366EE">
        <w:rPr>
          <w:rFonts w:cs="CenturyGothic"/>
          <w:sz w:val="20"/>
          <w:szCs w:val="20"/>
          <w:lang w:eastAsia="tr-TR"/>
        </w:rPr>
        <w:t xml:space="preserve"> </w:t>
      </w:r>
      <w:r w:rsidRPr="007366EE">
        <w:rPr>
          <w:rFonts w:cs="CenturyGothic"/>
          <w:sz w:val="20"/>
          <w:szCs w:val="20"/>
          <w:lang w:eastAsia="tr-TR"/>
        </w:rPr>
        <w:t>shall belong to the Treasury; right of use shall belong to the legal entity paying the</w:t>
      </w:r>
      <w:r w:rsidR="003005CB" w:rsidRPr="007366EE">
        <w:rPr>
          <w:rFonts w:cs="CenturyGothic"/>
          <w:sz w:val="20"/>
          <w:szCs w:val="20"/>
          <w:lang w:eastAsia="tr-TR"/>
        </w:rPr>
        <w:t xml:space="preserve"> </w:t>
      </w:r>
      <w:r w:rsidRPr="007366EE">
        <w:rPr>
          <w:rFonts w:cs="CenturyGothic"/>
          <w:sz w:val="20"/>
          <w:szCs w:val="20"/>
          <w:lang w:eastAsia="tr-TR"/>
        </w:rPr>
        <w:t>expropriation price. Rights of use are a part of the relevant license or certificate and</w:t>
      </w:r>
      <w:r w:rsidR="003005CB" w:rsidRPr="007366EE">
        <w:rPr>
          <w:rFonts w:cs="CenturyGothic"/>
          <w:sz w:val="20"/>
          <w:szCs w:val="20"/>
          <w:lang w:eastAsia="tr-TR"/>
        </w:rPr>
        <w:t xml:space="preserve"> </w:t>
      </w:r>
      <w:r w:rsidRPr="007366EE">
        <w:rPr>
          <w:rFonts w:cs="CenturyGothic"/>
          <w:sz w:val="20"/>
          <w:szCs w:val="20"/>
          <w:lang w:eastAsia="tr-TR"/>
        </w:rPr>
        <w:t xml:space="preserve">limited to validity period of them. </w:t>
      </w:r>
      <w:proofErr w:type="gramStart"/>
      <w:r w:rsidRPr="007366EE">
        <w:rPr>
          <w:rFonts w:cs="CenturyGothic"/>
          <w:sz w:val="20"/>
          <w:szCs w:val="20"/>
          <w:lang w:eastAsia="tr-TR"/>
        </w:rPr>
        <w:t>In case of termination or cancellation of the license</w:t>
      </w:r>
      <w:r w:rsidR="003005CB" w:rsidRPr="007366EE">
        <w:rPr>
          <w:rFonts w:cs="CenturyGothic"/>
          <w:sz w:val="20"/>
          <w:szCs w:val="20"/>
          <w:lang w:eastAsia="tr-TR"/>
        </w:rPr>
        <w:t xml:space="preserve"> </w:t>
      </w:r>
      <w:r w:rsidRPr="007366EE">
        <w:rPr>
          <w:rFonts w:cs="CenturyGothic"/>
          <w:sz w:val="20"/>
          <w:szCs w:val="20"/>
          <w:lang w:eastAsia="tr-TR"/>
        </w:rPr>
        <w:t>or the certificate, expropriation prices paid by legal entities shall not be paid b</w:t>
      </w:r>
      <w:r w:rsidR="003005CB" w:rsidRPr="007366EE">
        <w:rPr>
          <w:rFonts w:cs="CenturyGothic"/>
          <w:sz w:val="20"/>
          <w:szCs w:val="20"/>
          <w:lang w:eastAsia="tr-TR"/>
        </w:rPr>
        <w:t>e paid back” present in article 12 “Miscellaneous Provisions” of the Natural Gas Market Law.</w:t>
      </w:r>
      <w:proofErr w:type="gramEnd"/>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t>General Provisions</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With the Natural Gas and Electricity Market Laws, supervision of the energy market is left to the EPDK, as an independent regulatory authority. License holder companies are obliged to have their facilities, legal books and records ready for supervision by EPDK, open them to supervision when required and provide all kinds of information and documentation to be required by EPDK to perform its activities on time.</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According to the law, companies performing activities in natural gas field may participate in only one of the companies, which perform activities in a field other than their own field, on condition that they cannot hold majority of the shares of the other company. Within this framework, provisional article 2 of the law reduces dominant situation of BOTAS, which is the vertical integrated public institution in the natural gas market, and limits its activities in fields other than transmission. Furthermore, public institutions (municipal distribution companies) performing natural gas distribution activities shall be privatized.</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Public sector participation is allowed in every part of the </w:t>
      </w:r>
      <w:proofErr w:type="gramStart"/>
      <w:r w:rsidRPr="007366EE">
        <w:rPr>
          <w:rFonts w:cs="CenturyGothic"/>
          <w:sz w:val="20"/>
          <w:szCs w:val="20"/>
          <w:lang w:eastAsia="tr-TR"/>
        </w:rPr>
        <w:t>sector,</w:t>
      </w:r>
      <w:proofErr w:type="gramEnd"/>
      <w:r w:rsidRPr="007366EE">
        <w:rPr>
          <w:rFonts w:cs="CenturyGothic"/>
          <w:sz w:val="20"/>
          <w:szCs w:val="20"/>
          <w:lang w:eastAsia="tr-TR"/>
        </w:rPr>
        <w:t xml:space="preserve"> however, license should be taken for each activity in the natural gas markets.</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The law identifies natural or legal persons that have freedom to execute natural gas purchase-sale contract with any production, import, distribution or wholesale company as free consumers. In accordance with paragraph (a) of article 8 of the law, consumers and user unions with an annual natural gas purchase more than one million cubic meters, companies purchasing gas for generating electrical energy, cogeneration plants generating electrical and thermal energy and production companies producing natural gas in Turkey are identified as free consumers.</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EPDK is authorized to determine the annual consumption amount required to be a free consumer on condition that the relevant person/company should be at license stage only.</w:t>
      </w:r>
    </w:p>
    <w:p w:rsidR="003005CB" w:rsidRPr="007366EE" w:rsidRDefault="003005CB" w:rsidP="00CE0266">
      <w:pPr>
        <w:autoSpaceDE w:val="0"/>
        <w:autoSpaceDN w:val="0"/>
        <w:adjustRightInd w:val="0"/>
        <w:spacing w:after="0"/>
        <w:rPr>
          <w:rFonts w:cs="CenturyGothic"/>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lastRenderedPageBreak/>
        <w:t>Provisions Regarding Local Distribution</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Provisions regarding local distribution of natural gas are explained in detail in paragraph (g) of the relevant Law. Some major points are summarized below (For all the provisions of the law regarding local distribution, see the section Natural Gas Market Law No. 4646).</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-Local natural gas distribution service shall be given for a license period to be determined by EPDK. </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-EPDK shall open tenders for cities that do not have access to natural gas distribution.</w:t>
      </w:r>
      <w:r w:rsidR="00762860" w:rsidRPr="007366EE">
        <w:rPr>
          <w:rFonts w:cs="CenturyGothic"/>
          <w:sz w:val="20"/>
          <w:szCs w:val="20"/>
          <w:lang w:eastAsia="tr-TR"/>
        </w:rPr>
        <w:t xml:space="preserve"> </w:t>
      </w:r>
      <w:r w:rsidRPr="007366EE">
        <w:rPr>
          <w:rFonts w:cs="CenturyGothic"/>
          <w:sz w:val="20"/>
          <w:szCs w:val="20"/>
          <w:lang w:eastAsia="tr-TR"/>
        </w:rPr>
        <w:t>License may be granted to the contracting company for a period to be determined</w:t>
      </w:r>
      <w:r w:rsidR="00762860" w:rsidRPr="007366EE">
        <w:rPr>
          <w:rFonts w:cs="CenturyGothic"/>
          <w:sz w:val="20"/>
          <w:szCs w:val="20"/>
          <w:lang w:eastAsia="tr-TR"/>
        </w:rPr>
        <w:t xml:space="preserve"> </w:t>
      </w:r>
      <w:r w:rsidRPr="007366EE">
        <w:rPr>
          <w:rFonts w:cs="CenturyGothic"/>
          <w:sz w:val="20"/>
          <w:szCs w:val="20"/>
          <w:lang w:eastAsia="tr-TR"/>
        </w:rPr>
        <w:t>by EPDK by considering issues such as development level, consumption capacity</w:t>
      </w:r>
      <w:r w:rsidR="00762860" w:rsidRPr="007366EE">
        <w:rPr>
          <w:rFonts w:cs="CenturyGothic"/>
          <w:sz w:val="20"/>
          <w:szCs w:val="20"/>
          <w:lang w:eastAsia="tr-TR"/>
        </w:rPr>
        <w:t xml:space="preserve"> </w:t>
      </w:r>
      <w:r w:rsidRPr="007366EE">
        <w:rPr>
          <w:rFonts w:cs="CenturyGothic"/>
          <w:sz w:val="20"/>
          <w:szCs w:val="20"/>
          <w:lang w:eastAsia="tr-TR"/>
        </w:rPr>
        <w:t>and number of users of the city, including ownership of the local natural gas</w:t>
      </w:r>
      <w:r w:rsidR="00762860" w:rsidRPr="007366EE">
        <w:rPr>
          <w:rFonts w:cs="CenturyGothic"/>
          <w:sz w:val="20"/>
          <w:szCs w:val="20"/>
          <w:lang w:eastAsia="tr-TR"/>
        </w:rPr>
        <w:t xml:space="preserve"> </w:t>
      </w:r>
      <w:r w:rsidRPr="007366EE">
        <w:rPr>
          <w:rFonts w:cs="CenturyGothic"/>
          <w:sz w:val="20"/>
          <w:szCs w:val="20"/>
          <w:lang w:eastAsia="tr-TR"/>
        </w:rPr>
        <w:t>distribution network.</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-Legal person that holds the distribution license may sell the distribution network,</w:t>
      </w:r>
      <w:r w:rsidR="00762860" w:rsidRPr="007366EE">
        <w:rPr>
          <w:rFonts w:cs="CenturyGothic"/>
          <w:sz w:val="20"/>
          <w:szCs w:val="20"/>
          <w:lang w:eastAsia="tr-TR"/>
        </w:rPr>
        <w:t xml:space="preserve"> </w:t>
      </w:r>
      <w:r w:rsidRPr="007366EE">
        <w:rPr>
          <w:rFonts w:cs="CenturyGothic"/>
          <w:sz w:val="20"/>
          <w:szCs w:val="20"/>
          <w:lang w:eastAsia="tr-TR"/>
        </w:rPr>
        <w:t>which shall be under its ownership, to another legal person prior to termination date</w:t>
      </w:r>
      <w:r w:rsidR="00762860" w:rsidRPr="007366EE">
        <w:rPr>
          <w:rFonts w:cs="CenturyGothic"/>
          <w:sz w:val="20"/>
          <w:szCs w:val="20"/>
          <w:lang w:eastAsia="tr-TR"/>
        </w:rPr>
        <w:t xml:space="preserve"> </w:t>
      </w:r>
      <w:r w:rsidRPr="007366EE">
        <w:rPr>
          <w:rFonts w:cs="CenturyGothic"/>
          <w:sz w:val="20"/>
          <w:szCs w:val="20"/>
          <w:lang w:eastAsia="tr-TR"/>
        </w:rPr>
        <w:t>of the license period.</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-It is possible for companies, license period of which is over, to renew their licenses. In</w:t>
      </w:r>
      <w:r w:rsidR="00762860" w:rsidRPr="007366EE">
        <w:rPr>
          <w:rFonts w:cs="CenturyGothic"/>
          <w:sz w:val="20"/>
          <w:szCs w:val="20"/>
          <w:lang w:eastAsia="tr-TR"/>
        </w:rPr>
        <w:t xml:space="preserve"> </w:t>
      </w:r>
      <w:r w:rsidRPr="007366EE">
        <w:rPr>
          <w:rFonts w:cs="CenturyGothic"/>
          <w:sz w:val="20"/>
          <w:szCs w:val="20"/>
          <w:lang w:eastAsia="tr-TR"/>
        </w:rPr>
        <w:t>order to do this, the company shall request EPDK to renew the license one year prior</w:t>
      </w:r>
      <w:r w:rsidR="00762860" w:rsidRPr="007366EE">
        <w:rPr>
          <w:rFonts w:cs="CenturyGothic"/>
          <w:sz w:val="20"/>
          <w:szCs w:val="20"/>
          <w:lang w:eastAsia="tr-TR"/>
        </w:rPr>
        <w:t xml:space="preserve"> </w:t>
      </w:r>
      <w:r w:rsidRPr="007366EE">
        <w:rPr>
          <w:rFonts w:cs="CenturyGothic"/>
          <w:sz w:val="20"/>
          <w:szCs w:val="20"/>
          <w:lang w:eastAsia="tr-TR"/>
        </w:rPr>
        <w:t>to expiry date of the period. EPDK shall decide on the issue by considering issues</w:t>
      </w:r>
      <w:r w:rsidR="00762860" w:rsidRPr="007366EE">
        <w:rPr>
          <w:rFonts w:cs="CenturyGothic"/>
          <w:sz w:val="20"/>
          <w:szCs w:val="20"/>
          <w:lang w:eastAsia="tr-TR"/>
        </w:rPr>
        <w:t xml:space="preserve"> </w:t>
      </w:r>
      <w:r w:rsidRPr="007366EE">
        <w:rPr>
          <w:rFonts w:cs="CenturyGothic"/>
          <w:sz w:val="20"/>
          <w:szCs w:val="20"/>
          <w:lang w:eastAsia="tr-TR"/>
        </w:rPr>
        <w:t>such as economical and technical adequacy of the company, customer</w:t>
      </w:r>
      <w:r w:rsidR="00762860" w:rsidRPr="007366EE">
        <w:rPr>
          <w:rFonts w:cs="CenturyGothic"/>
          <w:sz w:val="20"/>
          <w:szCs w:val="20"/>
          <w:lang w:eastAsia="tr-TR"/>
        </w:rPr>
        <w:t xml:space="preserve"> </w:t>
      </w:r>
      <w:r w:rsidRPr="007366EE">
        <w:rPr>
          <w:rFonts w:cs="CenturyGothic"/>
          <w:sz w:val="20"/>
          <w:szCs w:val="20"/>
          <w:lang w:eastAsia="tr-TR"/>
        </w:rPr>
        <w:t>satisfaction, service quality etc. If license of the company is not renewed, EPDK</w:t>
      </w:r>
      <w:r w:rsidR="00762860" w:rsidRPr="007366EE">
        <w:rPr>
          <w:rFonts w:cs="CenturyGothic"/>
          <w:sz w:val="20"/>
          <w:szCs w:val="20"/>
          <w:lang w:eastAsia="tr-TR"/>
        </w:rPr>
        <w:t xml:space="preserve"> </w:t>
      </w:r>
      <w:r w:rsidRPr="007366EE">
        <w:rPr>
          <w:rFonts w:cs="CenturyGothic"/>
          <w:sz w:val="20"/>
          <w:szCs w:val="20"/>
          <w:lang w:eastAsia="tr-TR"/>
        </w:rPr>
        <w:t>opens a new tender for local distribution and evaluates the most suitable offer. Price</w:t>
      </w:r>
      <w:r w:rsidR="00762860" w:rsidRPr="007366EE">
        <w:rPr>
          <w:rFonts w:cs="CenturyGothic"/>
          <w:sz w:val="20"/>
          <w:szCs w:val="20"/>
          <w:lang w:eastAsia="tr-TR"/>
        </w:rPr>
        <w:t xml:space="preserve"> </w:t>
      </w:r>
      <w:r w:rsidRPr="007366EE">
        <w:rPr>
          <w:rFonts w:cs="CenturyGothic"/>
          <w:sz w:val="20"/>
          <w:szCs w:val="20"/>
          <w:lang w:eastAsia="tr-TR"/>
        </w:rPr>
        <w:t>of the network shall be collected from the contracting company and paid to the</w:t>
      </w:r>
      <w:r w:rsidR="00762860" w:rsidRPr="007366EE">
        <w:rPr>
          <w:rFonts w:cs="CenturyGothic"/>
          <w:sz w:val="20"/>
          <w:szCs w:val="20"/>
          <w:lang w:eastAsia="tr-TR"/>
        </w:rPr>
        <w:t xml:space="preserve"> </w:t>
      </w:r>
      <w:r w:rsidRPr="007366EE">
        <w:rPr>
          <w:rFonts w:cs="CenturyGothic"/>
          <w:sz w:val="20"/>
          <w:szCs w:val="20"/>
          <w:lang w:eastAsia="tr-TR"/>
        </w:rPr>
        <w:t>company, license of which is not renewed, by EPDK.</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-EPDK has the authority to follow up and supervise the distribution activities and arranges the relevant procedures and principles via the regulations issued.</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-Company that obtains the distribution license is obliged to invite the relevant municipality (or municipal company) to have 10% shares of the distribution company for free. This partnership may be increased by 10% maximum upon request of the municipality on condition that price of the shares should be paid.</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-In case where the municipality does not own enough shares to acquire at least one administrative board membership, EPDK may require the distribution company to make necessary arrangements to represent the municipality in administrative and supervisory boards.</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The law also determines responsibilities of the distribution company. Some major points may be listed as follows:</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-Distribution companies are required to establish natural gas dispatch controlling center (SCADA). However, this requirement is not valid in cities that are determined to have low consumption amounts by the Authority.</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-In case where the consumer requests to connect the network but the connection is not possible in technical and economical terms, </w:t>
      </w:r>
      <w:proofErr w:type="gramStart"/>
      <w:r w:rsidRPr="007366EE">
        <w:rPr>
          <w:rFonts w:cs="CenturyGothic"/>
          <w:sz w:val="20"/>
          <w:szCs w:val="20"/>
          <w:lang w:eastAsia="tr-TR"/>
        </w:rPr>
        <w:t>distribution company</w:t>
      </w:r>
      <w:proofErr w:type="gramEnd"/>
      <w:r w:rsidRPr="007366EE">
        <w:rPr>
          <w:rFonts w:cs="CenturyGothic"/>
          <w:sz w:val="20"/>
          <w:szCs w:val="20"/>
          <w:lang w:eastAsia="tr-TR"/>
        </w:rPr>
        <w:t xml:space="preserve"> is obliged to connect the consumers to the network. If there is a dispute regarding possibility in technical and economical terms, final decision on the issue shall be given by EPDK.</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-Distribution companies may control or have third parties control suitability of </w:t>
      </w:r>
      <w:proofErr w:type="spellStart"/>
      <w:r w:rsidRPr="007366EE">
        <w:rPr>
          <w:rFonts w:cs="CenturyGothic"/>
          <w:sz w:val="20"/>
          <w:szCs w:val="20"/>
          <w:lang w:eastAsia="tr-TR"/>
        </w:rPr>
        <w:t>innerinstallation</w:t>
      </w:r>
      <w:proofErr w:type="spellEnd"/>
      <w:r w:rsidRPr="007366EE">
        <w:rPr>
          <w:rFonts w:cs="CenturyGothic"/>
          <w:sz w:val="20"/>
          <w:szCs w:val="20"/>
          <w:lang w:eastAsia="tr-TR"/>
        </w:rPr>
        <w:t xml:space="preserve"> made and/or used by the users. The company may refuse to provide gas if inner-installation is not suitable. Distribution companies are not responsible for damages and losses to arise from repair made at inner-installation without permission, improper and bad use, </w:t>
      </w:r>
      <w:proofErr w:type="gramStart"/>
      <w:r w:rsidRPr="007366EE">
        <w:rPr>
          <w:rFonts w:cs="CenturyGothic"/>
          <w:sz w:val="20"/>
          <w:szCs w:val="20"/>
          <w:lang w:eastAsia="tr-TR"/>
        </w:rPr>
        <w:t>use</w:t>
      </w:r>
      <w:proofErr w:type="gramEnd"/>
      <w:r w:rsidRPr="007366EE">
        <w:rPr>
          <w:rFonts w:cs="CenturyGothic"/>
          <w:sz w:val="20"/>
          <w:szCs w:val="20"/>
          <w:lang w:eastAsia="tr-TR"/>
        </w:rPr>
        <w:t xml:space="preserve"> of wrong and defective equipment, construction of installation out-of-project and neglect of installation.</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762860" w:rsidP="00CE0266">
      <w:pPr>
        <w:autoSpaceDE w:val="0"/>
        <w:autoSpaceDN w:val="0"/>
        <w:adjustRightInd w:val="0"/>
        <w:spacing w:after="0"/>
        <w:rPr>
          <w:rFonts w:cs="CenturyGothic"/>
          <w:sz w:val="20"/>
          <w:szCs w:val="20"/>
          <w:lang w:eastAsia="tr-TR"/>
        </w:rPr>
      </w:pPr>
      <w:proofErr w:type="gramStart"/>
      <w:r w:rsidRPr="007366EE">
        <w:rPr>
          <w:rFonts w:cs="CenturyGothic"/>
          <w:sz w:val="20"/>
          <w:szCs w:val="20"/>
          <w:lang w:eastAsia="tr-TR"/>
        </w:rPr>
        <w:t>-Same distribution company</w:t>
      </w:r>
      <w:proofErr w:type="gramEnd"/>
      <w:r w:rsidRPr="007366EE">
        <w:rPr>
          <w:rFonts w:cs="CenturyGothic"/>
          <w:sz w:val="20"/>
          <w:szCs w:val="20"/>
          <w:lang w:eastAsia="tr-TR"/>
        </w:rPr>
        <w:t xml:space="preserve"> may obtain licenses in maximum 13 cities across the country; however, this number may be increased if required by EPDK.</w:t>
      </w:r>
    </w:p>
    <w:p w:rsidR="003005CB" w:rsidRPr="007366EE" w:rsidRDefault="003005CB" w:rsidP="00CE0266">
      <w:pPr>
        <w:autoSpaceDE w:val="0"/>
        <w:autoSpaceDN w:val="0"/>
        <w:adjustRightInd w:val="0"/>
        <w:spacing w:after="0"/>
        <w:rPr>
          <w:rFonts w:cs="CenturyGothic"/>
          <w:sz w:val="20"/>
          <w:szCs w:val="20"/>
          <w:lang w:eastAsia="tr-TR"/>
        </w:rPr>
      </w:pPr>
    </w:p>
    <w:p w:rsidR="003005CB" w:rsidRPr="00E1524F" w:rsidRDefault="003005CB" w:rsidP="00CE0266">
      <w:pPr>
        <w:autoSpaceDE w:val="0"/>
        <w:autoSpaceDN w:val="0"/>
        <w:adjustRightInd w:val="0"/>
        <w:spacing w:after="0"/>
        <w:rPr>
          <w:rFonts w:cs="CenturyGothic"/>
          <w:b/>
          <w:sz w:val="20"/>
          <w:szCs w:val="20"/>
          <w:lang w:eastAsia="tr-TR"/>
        </w:rPr>
      </w:pPr>
      <w:r w:rsidRPr="00E1524F">
        <w:rPr>
          <w:rFonts w:cs="CenturyGothic"/>
          <w:b/>
          <w:sz w:val="20"/>
          <w:szCs w:val="20"/>
          <w:lang w:eastAsia="tr-TR"/>
        </w:rPr>
        <w:lastRenderedPageBreak/>
        <w:t>Natural Gas Pricing Procedures and Regulations</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EPDK arranges natural gas sale prices and accordingly gross profit margins of the</w:t>
      </w:r>
      <w:r w:rsidR="00762860" w:rsidRPr="007366EE">
        <w:rPr>
          <w:rFonts w:cs="CenturyGothic"/>
          <w:sz w:val="20"/>
          <w:szCs w:val="20"/>
          <w:lang w:eastAsia="tr-TR"/>
        </w:rPr>
        <w:t xml:space="preserve"> </w:t>
      </w:r>
      <w:r w:rsidRPr="007366EE">
        <w:rPr>
          <w:rFonts w:cs="CenturyGothic"/>
          <w:sz w:val="20"/>
          <w:szCs w:val="20"/>
          <w:lang w:eastAsia="tr-TR"/>
        </w:rPr>
        <w:t>companies engaged in natural gas business via decisions announced within the</w:t>
      </w:r>
      <w:r w:rsidR="00762860" w:rsidRPr="007366EE">
        <w:rPr>
          <w:rFonts w:cs="CenturyGothic"/>
          <w:sz w:val="20"/>
          <w:szCs w:val="20"/>
          <w:lang w:eastAsia="tr-TR"/>
        </w:rPr>
        <w:t xml:space="preserve"> </w:t>
      </w:r>
      <w:r w:rsidRPr="007366EE">
        <w:rPr>
          <w:rFonts w:cs="CenturyGothic"/>
          <w:sz w:val="20"/>
          <w:szCs w:val="20"/>
          <w:lang w:eastAsia="tr-TR"/>
        </w:rPr>
        <w:t>framework of the Natural Gas Market Law No. 4646 and Regulations on Natural Gas</w:t>
      </w:r>
      <w:r w:rsidR="00762860" w:rsidRPr="007366EE">
        <w:rPr>
          <w:rFonts w:cs="CenturyGothic"/>
          <w:sz w:val="20"/>
          <w:szCs w:val="20"/>
          <w:lang w:eastAsia="tr-TR"/>
        </w:rPr>
        <w:t xml:space="preserve"> </w:t>
      </w:r>
      <w:r w:rsidRPr="007366EE">
        <w:rPr>
          <w:rFonts w:cs="CenturyGothic"/>
          <w:sz w:val="20"/>
          <w:szCs w:val="20"/>
          <w:lang w:eastAsia="tr-TR"/>
        </w:rPr>
        <w:t>Market Rates. Although natural gas pricing procedures and especially retail sale</w:t>
      </w:r>
      <w:r w:rsidR="00762860" w:rsidRPr="007366EE">
        <w:rPr>
          <w:rFonts w:cs="CenturyGothic"/>
          <w:sz w:val="20"/>
          <w:szCs w:val="20"/>
          <w:lang w:eastAsia="tr-TR"/>
        </w:rPr>
        <w:t xml:space="preserve"> </w:t>
      </w:r>
      <w:r w:rsidRPr="007366EE">
        <w:rPr>
          <w:rFonts w:cs="CenturyGothic"/>
          <w:sz w:val="20"/>
          <w:szCs w:val="20"/>
          <w:lang w:eastAsia="tr-TR"/>
        </w:rPr>
        <w:t>rates are outlined in this section, potential purchases should examine the relevant</w:t>
      </w:r>
      <w:r w:rsidR="00762860" w:rsidRPr="007366EE">
        <w:rPr>
          <w:rFonts w:cs="CenturyGothic"/>
          <w:sz w:val="20"/>
          <w:szCs w:val="20"/>
          <w:lang w:eastAsia="tr-TR"/>
        </w:rPr>
        <w:t xml:space="preserve"> </w:t>
      </w:r>
      <w:r w:rsidRPr="007366EE">
        <w:rPr>
          <w:rFonts w:cs="CenturyGothic"/>
          <w:sz w:val="20"/>
          <w:szCs w:val="20"/>
          <w:lang w:eastAsia="tr-TR"/>
        </w:rPr>
        <w:t>law submitted in Annex-A and regulations of EPDK and consult with their own</w:t>
      </w:r>
      <w:r w:rsidR="00762860" w:rsidRPr="007366EE">
        <w:rPr>
          <w:rFonts w:cs="CenturyGothic"/>
          <w:sz w:val="20"/>
          <w:szCs w:val="20"/>
          <w:lang w:eastAsia="tr-TR"/>
        </w:rPr>
        <w:t xml:space="preserve"> </w:t>
      </w:r>
      <w:r w:rsidRPr="007366EE">
        <w:rPr>
          <w:rFonts w:cs="CenturyGothic"/>
          <w:sz w:val="20"/>
          <w:szCs w:val="20"/>
          <w:lang w:eastAsia="tr-TR"/>
        </w:rPr>
        <w:t>consultants to fully understand the relevant regulations.</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proofErr w:type="gramStart"/>
      <w:r w:rsidRPr="007366EE">
        <w:rPr>
          <w:rFonts w:cs="CenturyGothic"/>
          <w:sz w:val="20"/>
          <w:szCs w:val="20"/>
          <w:lang w:eastAsia="tr-TR"/>
        </w:rPr>
        <w:t>As it is stated in article 11 of the Natural Gas Market Law No. 4646, while determining</w:t>
      </w:r>
      <w:r w:rsidR="00762860" w:rsidRPr="007366EE">
        <w:rPr>
          <w:rFonts w:cs="CenturyGothic"/>
          <w:sz w:val="20"/>
          <w:szCs w:val="20"/>
          <w:lang w:eastAsia="tr-TR"/>
        </w:rPr>
        <w:t xml:space="preserve"> </w:t>
      </w:r>
      <w:r w:rsidRPr="007366EE">
        <w:rPr>
          <w:rFonts w:cs="CenturyGothic"/>
          <w:sz w:val="20"/>
          <w:szCs w:val="20"/>
          <w:lang w:eastAsia="tr-TR"/>
        </w:rPr>
        <w:t>the retail sale rates: service cost, reasonable profitability to allow investments, current</w:t>
      </w:r>
      <w:r w:rsidR="00762860" w:rsidRPr="007366EE">
        <w:rPr>
          <w:rFonts w:cs="CenturyGothic"/>
          <w:sz w:val="20"/>
          <w:szCs w:val="20"/>
          <w:lang w:eastAsia="tr-TR"/>
        </w:rPr>
        <w:t xml:space="preserve"> </w:t>
      </w:r>
      <w:r w:rsidRPr="007366EE">
        <w:rPr>
          <w:rFonts w:cs="CenturyGothic"/>
          <w:sz w:val="20"/>
          <w:szCs w:val="20"/>
          <w:lang w:eastAsia="tr-TR"/>
        </w:rPr>
        <w:t>natural gas purchase prices in the market and similar points are taken into consideration and rates are det</w:t>
      </w:r>
      <w:r w:rsidR="00762860" w:rsidRPr="007366EE">
        <w:rPr>
          <w:rFonts w:cs="CenturyGothic"/>
          <w:sz w:val="20"/>
          <w:szCs w:val="20"/>
          <w:lang w:eastAsia="tr-TR"/>
        </w:rPr>
        <w:t xml:space="preserve">ermined by </w:t>
      </w:r>
      <w:r w:rsidRPr="007366EE">
        <w:rPr>
          <w:rFonts w:cs="CenturyGothic"/>
          <w:sz w:val="20"/>
          <w:szCs w:val="20"/>
          <w:lang w:eastAsia="tr-TR"/>
        </w:rPr>
        <w:t>EPDK.</w:t>
      </w:r>
      <w:proofErr w:type="gramEnd"/>
      <w:r w:rsidRPr="007366EE">
        <w:rPr>
          <w:rFonts w:cs="CenturyGothic"/>
          <w:sz w:val="20"/>
          <w:szCs w:val="20"/>
          <w:lang w:eastAsia="tr-TR"/>
        </w:rPr>
        <w:t xml:space="preserve"> Companies may request EPDK to</w:t>
      </w:r>
      <w:r w:rsidR="00762860" w:rsidRPr="007366EE">
        <w:rPr>
          <w:rFonts w:cs="CenturyGothic"/>
          <w:sz w:val="20"/>
          <w:szCs w:val="20"/>
          <w:lang w:eastAsia="tr-TR"/>
        </w:rPr>
        <w:t xml:space="preserve"> </w:t>
      </w:r>
      <w:r w:rsidRPr="007366EE">
        <w:rPr>
          <w:rFonts w:cs="CenturyGothic"/>
          <w:sz w:val="20"/>
          <w:szCs w:val="20"/>
          <w:lang w:eastAsia="tr-TR"/>
        </w:rPr>
        <w:t>determine the rates again due to inflation and other issues.</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Rates are prepared and submitted to EPDK by companies until October every year</w:t>
      </w:r>
      <w:r w:rsidR="00762860" w:rsidRPr="007366EE">
        <w:rPr>
          <w:rFonts w:cs="CenturyGothic"/>
          <w:sz w:val="20"/>
          <w:szCs w:val="20"/>
          <w:lang w:eastAsia="tr-TR"/>
        </w:rPr>
        <w:t xml:space="preserve"> </w:t>
      </w:r>
      <w:r w:rsidRPr="007366EE">
        <w:rPr>
          <w:rFonts w:cs="CenturyGothic"/>
          <w:sz w:val="20"/>
          <w:szCs w:val="20"/>
          <w:lang w:eastAsia="tr-TR"/>
        </w:rPr>
        <w:t>as based in incomes-expenses, costs, investments and quality of services delivered.</w:t>
      </w:r>
      <w:r w:rsidR="00762860" w:rsidRPr="007366EE">
        <w:rPr>
          <w:rFonts w:cs="CenturyGothic"/>
          <w:sz w:val="20"/>
          <w:szCs w:val="20"/>
          <w:lang w:eastAsia="tr-TR"/>
        </w:rPr>
        <w:t xml:space="preserve"> </w:t>
      </w:r>
      <w:r w:rsidRPr="007366EE">
        <w:rPr>
          <w:rFonts w:cs="CenturyGothic"/>
          <w:sz w:val="20"/>
          <w:szCs w:val="20"/>
          <w:lang w:eastAsia="tr-TR"/>
        </w:rPr>
        <w:t>EPDK may request information and documents from the companies regarding these</w:t>
      </w:r>
      <w:r w:rsidR="00762860" w:rsidRPr="007366EE">
        <w:rPr>
          <w:rFonts w:cs="CenturyGothic"/>
          <w:sz w:val="20"/>
          <w:szCs w:val="20"/>
          <w:lang w:eastAsia="tr-TR"/>
        </w:rPr>
        <w:t xml:space="preserve"> </w:t>
      </w:r>
      <w:r w:rsidRPr="007366EE">
        <w:rPr>
          <w:rFonts w:cs="CenturyGothic"/>
          <w:sz w:val="20"/>
          <w:szCs w:val="20"/>
          <w:lang w:eastAsia="tr-TR"/>
        </w:rPr>
        <w:t>cost and service criteria in order to examine and approve the rates proposed or call</w:t>
      </w:r>
      <w:r w:rsidR="00762860" w:rsidRPr="007366EE">
        <w:rPr>
          <w:rFonts w:cs="CenturyGothic"/>
          <w:sz w:val="20"/>
          <w:szCs w:val="20"/>
          <w:lang w:eastAsia="tr-TR"/>
        </w:rPr>
        <w:t xml:space="preserve"> </w:t>
      </w:r>
      <w:r w:rsidRPr="007366EE">
        <w:rPr>
          <w:rFonts w:cs="CenturyGothic"/>
          <w:sz w:val="20"/>
          <w:szCs w:val="20"/>
          <w:lang w:eastAsia="tr-TR"/>
        </w:rPr>
        <w:t>them directly to meeting. EPDK examines the rate proposals and information and</w:t>
      </w:r>
      <w:r w:rsidR="00762860" w:rsidRPr="007366EE">
        <w:rPr>
          <w:rFonts w:cs="CenturyGothic"/>
          <w:sz w:val="20"/>
          <w:szCs w:val="20"/>
          <w:lang w:eastAsia="tr-TR"/>
        </w:rPr>
        <w:t xml:space="preserve"> </w:t>
      </w:r>
      <w:r w:rsidRPr="007366EE">
        <w:rPr>
          <w:rFonts w:cs="CenturyGothic"/>
          <w:sz w:val="20"/>
          <w:szCs w:val="20"/>
          <w:lang w:eastAsia="tr-TR"/>
        </w:rPr>
        <w:t>documents submitted until December 31st at the latest and approves them if found</w:t>
      </w:r>
      <w:r w:rsidR="00762860" w:rsidRPr="007366EE">
        <w:rPr>
          <w:rFonts w:cs="CenturyGothic"/>
          <w:sz w:val="20"/>
          <w:szCs w:val="20"/>
          <w:lang w:eastAsia="tr-TR"/>
        </w:rPr>
        <w:t xml:space="preserve"> </w:t>
      </w:r>
      <w:r w:rsidRPr="007366EE">
        <w:rPr>
          <w:rFonts w:cs="CenturyGothic"/>
          <w:sz w:val="20"/>
          <w:szCs w:val="20"/>
          <w:lang w:eastAsia="tr-TR"/>
        </w:rPr>
        <w:t>suitable or request revision. Companies are given a time period to be determined by</w:t>
      </w:r>
      <w:r w:rsidR="00762860" w:rsidRPr="007366EE">
        <w:rPr>
          <w:rFonts w:cs="CenturyGothic"/>
          <w:sz w:val="20"/>
          <w:szCs w:val="20"/>
          <w:lang w:eastAsia="tr-TR"/>
        </w:rPr>
        <w:t xml:space="preserve"> </w:t>
      </w:r>
      <w:r w:rsidRPr="007366EE">
        <w:rPr>
          <w:rFonts w:cs="CenturyGothic"/>
          <w:sz w:val="20"/>
          <w:szCs w:val="20"/>
          <w:lang w:eastAsia="tr-TR"/>
        </w:rPr>
        <w:t>EPDK for revision of rate proposals that do not comply with the procedure. If revisions</w:t>
      </w:r>
      <w:r w:rsidR="00762860" w:rsidRPr="007366EE">
        <w:rPr>
          <w:rFonts w:cs="CenturyGothic"/>
          <w:sz w:val="20"/>
          <w:szCs w:val="20"/>
          <w:lang w:eastAsia="tr-TR"/>
        </w:rPr>
        <w:t xml:space="preserve"> </w:t>
      </w:r>
      <w:r w:rsidRPr="007366EE">
        <w:rPr>
          <w:rFonts w:cs="CenturyGothic"/>
          <w:sz w:val="20"/>
          <w:szCs w:val="20"/>
          <w:lang w:eastAsia="tr-TR"/>
        </w:rPr>
        <w:t>are not made within the designated time period, EPDK determines the rates in its</w:t>
      </w:r>
      <w:r w:rsidR="00762860" w:rsidRPr="007366EE">
        <w:rPr>
          <w:rFonts w:cs="CenturyGothic"/>
          <w:sz w:val="20"/>
          <w:szCs w:val="20"/>
          <w:lang w:eastAsia="tr-TR"/>
        </w:rPr>
        <w:t xml:space="preserve"> </w:t>
      </w:r>
      <w:r w:rsidRPr="007366EE">
        <w:rPr>
          <w:rFonts w:cs="CenturyGothic"/>
          <w:sz w:val="20"/>
          <w:szCs w:val="20"/>
          <w:lang w:eastAsia="tr-TR"/>
        </w:rPr>
        <w:t>own initiative.</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EPDK has determined five different rate types within the scope of the regulations on</w:t>
      </w:r>
      <w:r w:rsidR="00762860" w:rsidRPr="007366EE">
        <w:rPr>
          <w:rFonts w:cs="CenturyGothic"/>
          <w:sz w:val="20"/>
          <w:szCs w:val="20"/>
          <w:lang w:eastAsia="tr-TR"/>
        </w:rPr>
        <w:t xml:space="preserve"> </w:t>
      </w:r>
      <w:r w:rsidRPr="007366EE">
        <w:rPr>
          <w:rFonts w:cs="CenturyGothic"/>
          <w:sz w:val="20"/>
          <w:szCs w:val="20"/>
          <w:lang w:eastAsia="tr-TR"/>
        </w:rPr>
        <w:t>rates. These are connection rates, rates regarding transmission and dispatch control,</w:t>
      </w:r>
      <w:r w:rsidR="00762860" w:rsidRPr="007366EE">
        <w:rPr>
          <w:rFonts w:cs="CenturyGothic"/>
          <w:sz w:val="20"/>
          <w:szCs w:val="20"/>
          <w:lang w:eastAsia="tr-TR"/>
        </w:rPr>
        <w:t xml:space="preserve"> </w:t>
      </w:r>
      <w:r w:rsidRPr="007366EE">
        <w:rPr>
          <w:rFonts w:cs="CenturyGothic"/>
          <w:sz w:val="20"/>
          <w:szCs w:val="20"/>
          <w:lang w:eastAsia="tr-TR"/>
        </w:rPr>
        <w:t>storing rate, wholesale rate and retail sale rate. While determining the rates other</w:t>
      </w:r>
      <w:r w:rsidR="00762860" w:rsidRPr="007366EE">
        <w:rPr>
          <w:rFonts w:cs="CenturyGothic"/>
          <w:sz w:val="20"/>
          <w:szCs w:val="20"/>
          <w:lang w:eastAsia="tr-TR"/>
        </w:rPr>
        <w:t xml:space="preserve"> </w:t>
      </w:r>
      <w:r w:rsidRPr="007366EE">
        <w:rPr>
          <w:rFonts w:cs="CenturyGothic"/>
          <w:sz w:val="20"/>
          <w:szCs w:val="20"/>
          <w:lang w:eastAsia="tr-TR"/>
        </w:rPr>
        <w:t>than the connection rate, prices should be shown on energy (</w:t>
      </w:r>
      <w:proofErr w:type="spellStart"/>
      <w:r w:rsidRPr="007366EE">
        <w:rPr>
          <w:rFonts w:cs="CenturyGothic"/>
          <w:sz w:val="20"/>
          <w:szCs w:val="20"/>
          <w:lang w:eastAsia="tr-TR"/>
        </w:rPr>
        <w:t>kWs</w:t>
      </w:r>
      <w:proofErr w:type="spellEnd"/>
      <w:r w:rsidRPr="007366EE">
        <w:rPr>
          <w:rFonts w:cs="CenturyGothic"/>
          <w:sz w:val="20"/>
          <w:szCs w:val="20"/>
          <w:lang w:eastAsia="tr-TR"/>
        </w:rPr>
        <w:t>) and volume (m3)</w:t>
      </w:r>
      <w:r w:rsidR="00762860" w:rsidRPr="007366EE">
        <w:rPr>
          <w:rFonts w:cs="CenturyGothic"/>
          <w:sz w:val="20"/>
          <w:szCs w:val="20"/>
          <w:lang w:eastAsia="tr-TR"/>
        </w:rPr>
        <w:t xml:space="preserve"> </w:t>
      </w:r>
      <w:r w:rsidRPr="007366EE">
        <w:rPr>
          <w:rFonts w:cs="CenturyGothic"/>
          <w:sz w:val="20"/>
          <w:szCs w:val="20"/>
          <w:lang w:eastAsia="tr-TR"/>
        </w:rPr>
        <w:t>basis as depending of top thermal value of 9155 kca1/m3.</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t>Connection Rate</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Procedures of rates for connection to distribution </w:t>
      </w:r>
      <w:r w:rsidR="00762860" w:rsidRPr="007366EE">
        <w:rPr>
          <w:rFonts w:cs="CenturyGothic"/>
          <w:sz w:val="20"/>
          <w:szCs w:val="20"/>
          <w:lang w:eastAsia="tr-TR"/>
        </w:rPr>
        <w:t xml:space="preserve">network are determined by EPDK. </w:t>
      </w:r>
      <w:r w:rsidRPr="007366EE">
        <w:rPr>
          <w:rFonts w:cs="CenturyGothic"/>
          <w:sz w:val="20"/>
          <w:szCs w:val="20"/>
          <w:lang w:eastAsia="tr-TR"/>
        </w:rPr>
        <w:t>Fixed connection rate to be applied for the subscriber</w:t>
      </w:r>
      <w:r w:rsidR="00762860" w:rsidRPr="007366EE">
        <w:rPr>
          <w:rFonts w:cs="CenturyGothic"/>
          <w:sz w:val="20"/>
          <w:szCs w:val="20"/>
          <w:lang w:eastAsia="tr-TR"/>
        </w:rPr>
        <w:t xml:space="preserve">s within responsibility area of </w:t>
      </w:r>
      <w:r w:rsidRPr="007366EE">
        <w:rPr>
          <w:rFonts w:cs="CenturyGothic"/>
          <w:sz w:val="20"/>
          <w:szCs w:val="20"/>
          <w:lang w:eastAsia="tr-TR"/>
        </w:rPr>
        <w:t xml:space="preserve">the distribution network is determined as USD 150 by </w:t>
      </w:r>
      <w:r w:rsidR="00762860" w:rsidRPr="007366EE">
        <w:rPr>
          <w:rFonts w:cs="CenturyGothic"/>
          <w:sz w:val="20"/>
          <w:szCs w:val="20"/>
          <w:lang w:eastAsia="tr-TR"/>
        </w:rPr>
        <w:t xml:space="preserve">letter of EPDK of 26 April 2003 </w:t>
      </w:r>
      <w:r w:rsidRPr="007366EE">
        <w:rPr>
          <w:rFonts w:cs="CenturyGothic"/>
          <w:sz w:val="20"/>
          <w:szCs w:val="20"/>
          <w:lang w:eastAsia="tr-TR"/>
        </w:rPr>
        <w:t>No. 0816 addressed to OĐB. As it is stated in paragraph (</w:t>
      </w:r>
      <w:r w:rsidR="00762860" w:rsidRPr="007366EE">
        <w:rPr>
          <w:rFonts w:cs="CenturyGothic"/>
          <w:sz w:val="20"/>
          <w:szCs w:val="20"/>
          <w:lang w:eastAsia="tr-TR"/>
        </w:rPr>
        <w:t xml:space="preserve">g) of article 4 of the relevant </w:t>
      </w:r>
      <w:r w:rsidRPr="007366EE">
        <w:rPr>
          <w:rFonts w:cs="CenturyGothic"/>
          <w:sz w:val="20"/>
          <w:szCs w:val="20"/>
          <w:lang w:eastAsia="tr-TR"/>
        </w:rPr>
        <w:t>law, when subscribers that are within responsibility a</w:t>
      </w:r>
      <w:r w:rsidR="00762860" w:rsidRPr="007366EE">
        <w:rPr>
          <w:rFonts w:cs="CenturyGothic"/>
          <w:sz w:val="20"/>
          <w:szCs w:val="20"/>
          <w:lang w:eastAsia="tr-TR"/>
        </w:rPr>
        <w:t xml:space="preserve">rea of the distribution company </w:t>
      </w:r>
      <w:r w:rsidRPr="007366EE">
        <w:rPr>
          <w:rFonts w:cs="CenturyGothic"/>
          <w:sz w:val="20"/>
          <w:szCs w:val="20"/>
          <w:lang w:eastAsia="tr-TR"/>
        </w:rPr>
        <w:t>request to connect to network and this connection i</w:t>
      </w:r>
      <w:r w:rsidR="00762860" w:rsidRPr="007366EE">
        <w:rPr>
          <w:rFonts w:cs="CenturyGothic"/>
          <w:sz w:val="20"/>
          <w:szCs w:val="20"/>
          <w:lang w:eastAsia="tr-TR"/>
        </w:rPr>
        <w:t xml:space="preserve">s not possible in technical and </w:t>
      </w:r>
      <w:r w:rsidRPr="007366EE">
        <w:rPr>
          <w:rFonts w:cs="CenturyGothic"/>
          <w:sz w:val="20"/>
          <w:szCs w:val="20"/>
          <w:lang w:eastAsia="tr-TR"/>
        </w:rPr>
        <w:t>economical terms, the distribution company is oblige</w:t>
      </w:r>
      <w:r w:rsidR="00762860" w:rsidRPr="007366EE">
        <w:rPr>
          <w:rFonts w:cs="CenturyGothic"/>
          <w:sz w:val="20"/>
          <w:szCs w:val="20"/>
          <w:lang w:eastAsia="tr-TR"/>
        </w:rPr>
        <w:t xml:space="preserve">d to connect the subscribers to </w:t>
      </w:r>
      <w:r w:rsidRPr="007366EE">
        <w:rPr>
          <w:rFonts w:cs="CenturyGothic"/>
          <w:sz w:val="20"/>
          <w:szCs w:val="20"/>
          <w:lang w:eastAsia="tr-TR"/>
        </w:rPr>
        <w:t>the network. The distribution company is not ob</w:t>
      </w:r>
      <w:r w:rsidR="00762860" w:rsidRPr="007366EE">
        <w:rPr>
          <w:rFonts w:cs="CenturyGothic"/>
          <w:sz w:val="20"/>
          <w:szCs w:val="20"/>
          <w:lang w:eastAsia="tr-TR"/>
        </w:rPr>
        <w:t xml:space="preserve">liged to deliver natural gas to </w:t>
      </w:r>
      <w:r w:rsidRPr="007366EE">
        <w:rPr>
          <w:rFonts w:cs="CenturyGothic"/>
          <w:sz w:val="20"/>
          <w:szCs w:val="20"/>
          <w:lang w:eastAsia="tr-TR"/>
        </w:rPr>
        <w:t>subscribers that are out of the responsibility area. Likewi</w:t>
      </w:r>
      <w:r w:rsidR="00762860" w:rsidRPr="007366EE">
        <w:rPr>
          <w:rFonts w:cs="CenturyGothic"/>
          <w:sz w:val="20"/>
          <w:szCs w:val="20"/>
          <w:lang w:eastAsia="tr-TR"/>
        </w:rPr>
        <w:t xml:space="preserve">se, subscribers that are out of </w:t>
      </w:r>
      <w:r w:rsidRPr="007366EE">
        <w:rPr>
          <w:rFonts w:cs="CenturyGothic"/>
          <w:sz w:val="20"/>
          <w:szCs w:val="20"/>
          <w:lang w:eastAsia="tr-TR"/>
        </w:rPr>
        <w:t>responsibility area of the distribution comp</w:t>
      </w:r>
      <w:r w:rsidR="00762860" w:rsidRPr="007366EE">
        <w:rPr>
          <w:rFonts w:cs="CenturyGothic"/>
          <w:sz w:val="20"/>
          <w:szCs w:val="20"/>
          <w:lang w:eastAsia="tr-TR"/>
        </w:rPr>
        <w:t xml:space="preserve">any are not obliged to have the </w:t>
      </w:r>
      <w:r w:rsidRPr="007366EE">
        <w:rPr>
          <w:rFonts w:cs="CenturyGothic"/>
          <w:sz w:val="20"/>
          <w:szCs w:val="20"/>
          <w:lang w:eastAsia="tr-TR"/>
        </w:rPr>
        <w:t>distribution company establish their connection. If t</w:t>
      </w:r>
      <w:r w:rsidR="00762860" w:rsidRPr="007366EE">
        <w:rPr>
          <w:rFonts w:cs="CenturyGothic"/>
          <w:sz w:val="20"/>
          <w:szCs w:val="20"/>
          <w:lang w:eastAsia="tr-TR"/>
        </w:rPr>
        <w:t xml:space="preserve">hese subscribers cannot connect </w:t>
      </w:r>
      <w:r w:rsidRPr="007366EE">
        <w:rPr>
          <w:rFonts w:cs="CenturyGothic"/>
          <w:sz w:val="20"/>
          <w:szCs w:val="20"/>
          <w:lang w:eastAsia="tr-TR"/>
        </w:rPr>
        <w:t xml:space="preserve">to the most suitable distribution company, they </w:t>
      </w:r>
      <w:r w:rsidR="00762860" w:rsidRPr="007366EE">
        <w:rPr>
          <w:rFonts w:cs="CenturyGothic"/>
          <w:sz w:val="20"/>
          <w:szCs w:val="20"/>
          <w:lang w:eastAsia="tr-TR"/>
        </w:rPr>
        <w:t xml:space="preserve">may connect to the transmission </w:t>
      </w:r>
      <w:r w:rsidRPr="007366EE">
        <w:rPr>
          <w:rFonts w:cs="CenturyGothic"/>
          <w:sz w:val="20"/>
          <w:szCs w:val="20"/>
          <w:lang w:eastAsia="tr-TR"/>
        </w:rPr>
        <w:t>network.</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t>Rates Regarding Transmission and Dispatch Control</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Income ceiling and productivity objectives to be</w:t>
      </w:r>
      <w:r w:rsidR="00762860" w:rsidRPr="007366EE">
        <w:rPr>
          <w:rFonts w:cs="CenturyGothic"/>
          <w:sz w:val="20"/>
          <w:szCs w:val="20"/>
          <w:lang w:eastAsia="tr-TR"/>
        </w:rPr>
        <w:t xml:space="preserve"> determined by EPDK are used in </w:t>
      </w:r>
      <w:r w:rsidRPr="007366EE">
        <w:rPr>
          <w:rFonts w:cs="CenturyGothic"/>
          <w:sz w:val="20"/>
          <w:szCs w:val="20"/>
          <w:lang w:eastAsia="tr-TR"/>
        </w:rPr>
        <w:t>calculation of transmission rates. Transmission rate</w:t>
      </w:r>
      <w:r w:rsidR="00762860" w:rsidRPr="007366EE">
        <w:rPr>
          <w:rFonts w:cs="CenturyGothic"/>
          <w:sz w:val="20"/>
          <w:szCs w:val="20"/>
          <w:lang w:eastAsia="tr-TR"/>
        </w:rPr>
        <w:t xml:space="preserve">s are arranged in a way to meet </w:t>
      </w:r>
      <w:r w:rsidRPr="007366EE">
        <w:rPr>
          <w:rFonts w:cs="CenturyGothic"/>
          <w:sz w:val="20"/>
          <w:szCs w:val="20"/>
          <w:lang w:eastAsia="tr-TR"/>
        </w:rPr>
        <w:t>fixed and variable costs of transmission and dispatch companies, ensur</w:t>
      </w:r>
      <w:r w:rsidR="00762860" w:rsidRPr="007366EE">
        <w:rPr>
          <w:rFonts w:cs="CenturyGothic"/>
          <w:sz w:val="20"/>
          <w:szCs w:val="20"/>
          <w:lang w:eastAsia="tr-TR"/>
        </w:rPr>
        <w:t xml:space="preserve">e continuity </w:t>
      </w:r>
      <w:r w:rsidRPr="007366EE">
        <w:rPr>
          <w:rFonts w:cs="CenturyGothic"/>
          <w:sz w:val="20"/>
          <w:szCs w:val="20"/>
          <w:lang w:eastAsia="tr-TR"/>
        </w:rPr>
        <w:t xml:space="preserve">of investments and leave a reasonable profit </w:t>
      </w:r>
      <w:r w:rsidR="00762860" w:rsidRPr="007366EE">
        <w:rPr>
          <w:rFonts w:cs="CenturyGothic"/>
          <w:sz w:val="20"/>
          <w:szCs w:val="20"/>
          <w:lang w:eastAsia="tr-TR"/>
        </w:rPr>
        <w:t xml:space="preserve">according to achievement of the </w:t>
      </w:r>
      <w:r w:rsidRPr="007366EE">
        <w:rPr>
          <w:rFonts w:cs="CenturyGothic"/>
          <w:sz w:val="20"/>
          <w:szCs w:val="20"/>
          <w:lang w:eastAsia="tr-TR"/>
        </w:rPr>
        <w:t>productivity objectives determined. No discri</w:t>
      </w:r>
      <w:r w:rsidR="00762860" w:rsidRPr="007366EE">
        <w:rPr>
          <w:rFonts w:cs="CenturyGothic"/>
          <w:sz w:val="20"/>
          <w:szCs w:val="20"/>
          <w:lang w:eastAsia="tr-TR"/>
        </w:rPr>
        <w:t xml:space="preserve">mination should be made between </w:t>
      </w:r>
      <w:r w:rsidRPr="007366EE">
        <w:rPr>
          <w:rFonts w:cs="CenturyGothic"/>
          <w:sz w:val="20"/>
          <w:szCs w:val="20"/>
          <w:lang w:eastAsia="tr-TR"/>
        </w:rPr>
        <w:t>equal parties and equal access right should be ensured in transmission rates.</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t>Storing Rate</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Provided that they comply with the storing rate appro</w:t>
      </w:r>
      <w:r w:rsidR="00762860" w:rsidRPr="007366EE">
        <w:rPr>
          <w:rFonts w:cs="CenturyGothic"/>
          <w:sz w:val="20"/>
          <w:szCs w:val="20"/>
          <w:lang w:eastAsia="tr-TR"/>
        </w:rPr>
        <w:t xml:space="preserve">ved by EPDK, storing prices are </w:t>
      </w:r>
      <w:r w:rsidRPr="007366EE">
        <w:rPr>
          <w:rFonts w:cs="CenturyGothic"/>
          <w:sz w:val="20"/>
          <w:szCs w:val="20"/>
          <w:lang w:eastAsia="tr-TR"/>
        </w:rPr>
        <w:t>determined freely between storing companies and cl</w:t>
      </w:r>
      <w:r w:rsidR="00762860" w:rsidRPr="007366EE">
        <w:rPr>
          <w:rFonts w:cs="CenturyGothic"/>
          <w:sz w:val="20"/>
          <w:szCs w:val="20"/>
          <w:lang w:eastAsia="tr-TR"/>
        </w:rPr>
        <w:t xml:space="preserve">ients. No discrimination should </w:t>
      </w:r>
      <w:r w:rsidRPr="007366EE">
        <w:rPr>
          <w:rFonts w:cs="CenturyGothic"/>
          <w:sz w:val="20"/>
          <w:szCs w:val="20"/>
          <w:lang w:eastAsia="tr-TR"/>
        </w:rPr>
        <w:t>be made between equal clients and equal access rig</w:t>
      </w:r>
      <w:r w:rsidR="00762860" w:rsidRPr="007366EE">
        <w:rPr>
          <w:rFonts w:cs="CenturyGothic"/>
          <w:sz w:val="20"/>
          <w:szCs w:val="20"/>
          <w:lang w:eastAsia="tr-TR"/>
        </w:rPr>
        <w:t xml:space="preserve">ht should be ensured in storing </w:t>
      </w:r>
      <w:r w:rsidRPr="007366EE">
        <w:rPr>
          <w:rFonts w:cs="CenturyGothic"/>
          <w:sz w:val="20"/>
          <w:szCs w:val="20"/>
          <w:lang w:eastAsia="tr-TR"/>
        </w:rPr>
        <w:t>use procedures.</w:t>
      </w:r>
    </w:p>
    <w:p w:rsidR="003005CB" w:rsidRPr="007366EE" w:rsidRDefault="003005CB" w:rsidP="00CE0266">
      <w:pPr>
        <w:autoSpaceDE w:val="0"/>
        <w:autoSpaceDN w:val="0"/>
        <w:adjustRightInd w:val="0"/>
        <w:spacing w:after="0"/>
        <w:rPr>
          <w:rFonts w:cs="CenturyGothic"/>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lastRenderedPageBreak/>
        <w:t>Wholesale Rate</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Natural gas wholesale prices are determined free</w:t>
      </w:r>
      <w:r w:rsidR="00762860" w:rsidRPr="007366EE">
        <w:rPr>
          <w:rFonts w:cs="CenturyGothic"/>
          <w:sz w:val="20"/>
          <w:szCs w:val="20"/>
          <w:lang w:eastAsia="tr-TR"/>
        </w:rPr>
        <w:t xml:space="preserve">ly between parties that perform </w:t>
      </w:r>
      <w:r w:rsidRPr="007366EE">
        <w:rPr>
          <w:rFonts w:cs="CenturyGothic"/>
          <w:sz w:val="20"/>
          <w:szCs w:val="20"/>
          <w:lang w:eastAsia="tr-TR"/>
        </w:rPr>
        <w:t>natural gas purchase-sale. However, it is the basic prin</w:t>
      </w:r>
      <w:r w:rsidR="00762860" w:rsidRPr="007366EE">
        <w:rPr>
          <w:rFonts w:cs="CenturyGothic"/>
          <w:sz w:val="20"/>
          <w:szCs w:val="20"/>
          <w:lang w:eastAsia="tr-TR"/>
        </w:rPr>
        <w:t xml:space="preserve">ciple that dominant position in </w:t>
      </w:r>
      <w:r w:rsidRPr="007366EE">
        <w:rPr>
          <w:rFonts w:cs="CenturyGothic"/>
          <w:sz w:val="20"/>
          <w:szCs w:val="20"/>
          <w:lang w:eastAsia="tr-TR"/>
        </w:rPr>
        <w:t>the market should not be misused, supply assurance and regul</w:t>
      </w:r>
      <w:r w:rsidR="00762860" w:rsidRPr="007366EE">
        <w:rPr>
          <w:rFonts w:cs="CenturyGothic"/>
          <w:sz w:val="20"/>
          <w:szCs w:val="20"/>
          <w:lang w:eastAsia="tr-TR"/>
        </w:rPr>
        <w:t xml:space="preserve">arity should be </w:t>
      </w:r>
      <w:r w:rsidRPr="007366EE">
        <w:rPr>
          <w:rFonts w:cs="CenturyGothic"/>
          <w:sz w:val="20"/>
          <w:szCs w:val="20"/>
          <w:lang w:eastAsia="tr-TR"/>
        </w:rPr>
        <w:t xml:space="preserve">ensured and other measures determined by EPDK </w:t>
      </w:r>
      <w:r w:rsidR="00762860" w:rsidRPr="007366EE">
        <w:rPr>
          <w:rFonts w:cs="CenturyGothic"/>
          <w:sz w:val="20"/>
          <w:szCs w:val="20"/>
          <w:lang w:eastAsia="tr-TR"/>
        </w:rPr>
        <w:t xml:space="preserve">should be complied in wholesale </w:t>
      </w:r>
      <w:r w:rsidRPr="007366EE">
        <w:rPr>
          <w:rFonts w:cs="CenturyGothic"/>
          <w:sz w:val="20"/>
          <w:szCs w:val="20"/>
          <w:lang w:eastAsia="tr-TR"/>
        </w:rPr>
        <w:t>rates.</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t>Retail Sate Rate</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Natural gas purchase price, unit service and depreciation cost and other factors are</w:t>
      </w:r>
      <w:r w:rsidR="00762860" w:rsidRPr="007366EE">
        <w:rPr>
          <w:rFonts w:cs="CenturyGothic"/>
          <w:sz w:val="20"/>
          <w:szCs w:val="20"/>
          <w:lang w:eastAsia="tr-TR"/>
        </w:rPr>
        <w:t xml:space="preserve"> </w:t>
      </w:r>
      <w:r w:rsidRPr="007366EE">
        <w:rPr>
          <w:rFonts w:cs="CenturyGothic"/>
          <w:sz w:val="20"/>
          <w:szCs w:val="20"/>
          <w:lang w:eastAsia="tr-TR"/>
        </w:rPr>
        <w:t>taken into consideration in calculation of retail sale prices. In distribution networks,</w:t>
      </w:r>
      <w:r w:rsidR="00762860" w:rsidRPr="007366EE">
        <w:rPr>
          <w:rFonts w:cs="CenturyGothic"/>
          <w:sz w:val="20"/>
          <w:szCs w:val="20"/>
          <w:lang w:eastAsia="tr-TR"/>
        </w:rPr>
        <w:t xml:space="preserve"> </w:t>
      </w:r>
      <w:r w:rsidRPr="007366EE">
        <w:rPr>
          <w:rFonts w:cs="CenturyGothic"/>
          <w:sz w:val="20"/>
          <w:szCs w:val="20"/>
          <w:lang w:eastAsia="tr-TR"/>
        </w:rPr>
        <w:t>which are contracted by EPDK recently, uni</w:t>
      </w:r>
      <w:r w:rsidR="00762860" w:rsidRPr="007366EE">
        <w:rPr>
          <w:rFonts w:cs="CenturyGothic"/>
          <w:sz w:val="20"/>
          <w:szCs w:val="20"/>
          <w:lang w:eastAsia="tr-TR"/>
        </w:rPr>
        <w:t xml:space="preserve">t service and depreciation cost </w:t>
      </w:r>
      <w:r w:rsidRPr="007366EE">
        <w:rPr>
          <w:rFonts w:cs="CenturyGothic"/>
          <w:sz w:val="20"/>
          <w:szCs w:val="20"/>
          <w:lang w:eastAsia="tr-TR"/>
        </w:rPr>
        <w:t>accepted by EPDK is applied. Service cost, re</w:t>
      </w:r>
      <w:r w:rsidR="00762860" w:rsidRPr="007366EE">
        <w:rPr>
          <w:rFonts w:cs="CenturyGothic"/>
          <w:sz w:val="20"/>
          <w:szCs w:val="20"/>
          <w:lang w:eastAsia="tr-TR"/>
        </w:rPr>
        <w:t xml:space="preserve">asonable profitability to allow </w:t>
      </w:r>
      <w:r w:rsidRPr="007366EE">
        <w:rPr>
          <w:rFonts w:cs="CenturyGothic"/>
          <w:sz w:val="20"/>
          <w:szCs w:val="20"/>
          <w:lang w:eastAsia="tr-TR"/>
        </w:rPr>
        <w:t>investments and current natural gas purchase prices in the market an</w:t>
      </w:r>
      <w:r w:rsidR="00762860" w:rsidRPr="007366EE">
        <w:rPr>
          <w:rFonts w:cs="CenturyGothic"/>
          <w:sz w:val="20"/>
          <w:szCs w:val="20"/>
          <w:lang w:eastAsia="tr-TR"/>
        </w:rPr>
        <w:t xml:space="preserve">d similar issues </w:t>
      </w:r>
      <w:r w:rsidRPr="007366EE">
        <w:rPr>
          <w:rFonts w:cs="CenturyGothic"/>
          <w:sz w:val="20"/>
          <w:szCs w:val="20"/>
          <w:lang w:eastAsia="tr-TR"/>
        </w:rPr>
        <w:t>are taken into consideration in confirmation a</w:t>
      </w:r>
      <w:r w:rsidR="00762860" w:rsidRPr="007366EE">
        <w:rPr>
          <w:rFonts w:cs="CenturyGothic"/>
          <w:sz w:val="20"/>
          <w:szCs w:val="20"/>
          <w:lang w:eastAsia="tr-TR"/>
        </w:rPr>
        <w:t xml:space="preserve">nd determination of retail sale </w:t>
      </w:r>
      <w:r w:rsidRPr="007366EE">
        <w:rPr>
          <w:rFonts w:cs="CenturyGothic"/>
          <w:sz w:val="20"/>
          <w:szCs w:val="20"/>
          <w:lang w:eastAsia="tr-TR"/>
        </w:rPr>
        <w:t>prices</w:t>
      </w:r>
      <w:r w:rsidR="00762860" w:rsidRPr="007366EE">
        <w:rPr>
          <w:rFonts w:cs="CenturyGothic"/>
          <w:sz w:val="20"/>
          <w:szCs w:val="20"/>
          <w:lang w:eastAsia="tr-TR"/>
        </w:rPr>
        <w:t xml:space="preserve"> </w:t>
      </w:r>
      <w:r w:rsidRPr="007366EE">
        <w:rPr>
          <w:rFonts w:cs="CenturyGothic"/>
          <w:sz w:val="20"/>
          <w:szCs w:val="20"/>
          <w:lang w:eastAsia="tr-TR"/>
        </w:rPr>
        <w:t>by EPDK.</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Distribution companies may apply seasonal and/or deducted or non-deducted rates</w:t>
      </w:r>
      <w:r w:rsidR="00762860" w:rsidRPr="007366EE">
        <w:rPr>
          <w:rFonts w:cs="CenturyGothic"/>
          <w:sz w:val="20"/>
          <w:szCs w:val="20"/>
          <w:lang w:eastAsia="tr-TR"/>
        </w:rPr>
        <w:t xml:space="preserve"> </w:t>
      </w:r>
      <w:r w:rsidRPr="007366EE">
        <w:rPr>
          <w:rFonts w:cs="CenturyGothic"/>
          <w:sz w:val="20"/>
          <w:szCs w:val="20"/>
          <w:lang w:eastAsia="tr-TR"/>
        </w:rPr>
        <w:t>on condition that th</w:t>
      </w:r>
      <w:r w:rsidR="00762860" w:rsidRPr="007366EE">
        <w:rPr>
          <w:rFonts w:cs="CenturyGothic"/>
          <w:sz w:val="20"/>
          <w:szCs w:val="20"/>
          <w:lang w:eastAsia="tr-TR"/>
        </w:rPr>
        <w:t xml:space="preserve">ey should be confirmed by EPDK. </w:t>
      </w:r>
      <w:r w:rsidRPr="007366EE">
        <w:rPr>
          <w:rFonts w:cs="CenturyGothic"/>
          <w:sz w:val="20"/>
          <w:szCs w:val="20"/>
          <w:lang w:eastAsia="tr-TR"/>
        </w:rPr>
        <w:t>Retail sale price to be applied for free consumers i</w:t>
      </w:r>
      <w:r w:rsidR="00762860" w:rsidRPr="007366EE">
        <w:rPr>
          <w:rFonts w:cs="CenturyGothic"/>
          <w:sz w:val="20"/>
          <w:szCs w:val="20"/>
          <w:lang w:eastAsia="tr-TR"/>
        </w:rPr>
        <w:t xml:space="preserve">s determined freely between the </w:t>
      </w:r>
      <w:r w:rsidRPr="007366EE">
        <w:rPr>
          <w:rFonts w:cs="CenturyGothic"/>
          <w:sz w:val="20"/>
          <w:szCs w:val="20"/>
          <w:lang w:eastAsia="tr-TR"/>
        </w:rPr>
        <w:t xml:space="preserve">parties provided that it does not exceed the retail </w:t>
      </w:r>
      <w:r w:rsidR="00762860" w:rsidRPr="007366EE">
        <w:rPr>
          <w:rFonts w:cs="CenturyGothic"/>
          <w:sz w:val="20"/>
          <w:szCs w:val="20"/>
          <w:lang w:eastAsia="tr-TR"/>
        </w:rPr>
        <w:t xml:space="preserve">sale price ceiling confirmed by </w:t>
      </w:r>
      <w:r w:rsidRPr="007366EE">
        <w:rPr>
          <w:rFonts w:cs="CenturyGothic"/>
          <w:sz w:val="20"/>
          <w:szCs w:val="20"/>
          <w:lang w:eastAsia="tr-TR"/>
        </w:rPr>
        <w:t>EPDK. Price to be applied only in natural gas tra</w:t>
      </w:r>
      <w:r w:rsidR="00762860" w:rsidRPr="007366EE">
        <w:rPr>
          <w:rFonts w:cs="CenturyGothic"/>
          <w:sz w:val="20"/>
          <w:szCs w:val="20"/>
          <w:lang w:eastAsia="tr-TR"/>
        </w:rPr>
        <w:t xml:space="preserve">nsmission service fields of the </w:t>
      </w:r>
      <w:r w:rsidRPr="007366EE">
        <w:rPr>
          <w:rFonts w:cs="CenturyGothic"/>
          <w:sz w:val="20"/>
          <w:szCs w:val="20"/>
          <w:lang w:eastAsia="tr-TR"/>
        </w:rPr>
        <w:t>distribution companies is determined freely between th</w:t>
      </w:r>
      <w:r w:rsidR="00762860" w:rsidRPr="007366EE">
        <w:rPr>
          <w:rFonts w:cs="CenturyGothic"/>
          <w:sz w:val="20"/>
          <w:szCs w:val="20"/>
          <w:lang w:eastAsia="tr-TR"/>
        </w:rPr>
        <w:t xml:space="preserve">e parties provided that it does </w:t>
      </w:r>
      <w:r w:rsidRPr="007366EE">
        <w:rPr>
          <w:rFonts w:cs="CenturyGothic"/>
          <w:sz w:val="20"/>
          <w:szCs w:val="20"/>
          <w:lang w:eastAsia="tr-TR"/>
        </w:rPr>
        <w:t>not exceed the part of the retail sale price exclu</w:t>
      </w:r>
      <w:r w:rsidR="00762860" w:rsidRPr="007366EE">
        <w:rPr>
          <w:rFonts w:cs="CenturyGothic"/>
          <w:sz w:val="20"/>
          <w:szCs w:val="20"/>
          <w:lang w:eastAsia="tr-TR"/>
        </w:rPr>
        <w:t xml:space="preserve">ding natural gas purchase price </w:t>
      </w:r>
      <w:r w:rsidRPr="007366EE">
        <w:rPr>
          <w:rFonts w:cs="CenturyGothic"/>
          <w:sz w:val="20"/>
          <w:szCs w:val="20"/>
          <w:lang w:eastAsia="tr-TR"/>
        </w:rPr>
        <w:t>confirmed by EPDK.</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According to the Regulations on Rates, natural gas distribution companies cannot</w:t>
      </w:r>
      <w:r w:rsidR="00762860" w:rsidRPr="007366EE">
        <w:rPr>
          <w:rFonts w:cs="CenturyGothic"/>
          <w:sz w:val="20"/>
          <w:szCs w:val="20"/>
          <w:lang w:eastAsia="tr-TR"/>
        </w:rPr>
        <w:t xml:space="preserve"> </w:t>
      </w:r>
      <w:r w:rsidRPr="007366EE">
        <w:rPr>
          <w:rFonts w:cs="CenturyGothic"/>
          <w:sz w:val="20"/>
          <w:szCs w:val="20"/>
          <w:lang w:eastAsia="tr-TR"/>
        </w:rPr>
        <w:t xml:space="preserve">demand any additional fee from consumers, </w:t>
      </w:r>
      <w:r w:rsidR="00762860" w:rsidRPr="007366EE">
        <w:rPr>
          <w:rFonts w:cs="CenturyGothic"/>
          <w:sz w:val="20"/>
          <w:szCs w:val="20"/>
          <w:lang w:eastAsia="tr-TR"/>
        </w:rPr>
        <w:t xml:space="preserve">other than the confirmed rates. </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Within the framework of the decision of EPDK No. 135 that was published on the</w:t>
      </w:r>
      <w:r w:rsidR="00762860" w:rsidRPr="007366EE">
        <w:rPr>
          <w:rFonts w:cs="CenturyGothic"/>
          <w:sz w:val="20"/>
          <w:szCs w:val="20"/>
          <w:lang w:eastAsia="tr-TR"/>
        </w:rPr>
        <w:t xml:space="preserve"> </w:t>
      </w:r>
      <w:r w:rsidRPr="007366EE">
        <w:rPr>
          <w:rFonts w:cs="CenturyGothic"/>
          <w:sz w:val="20"/>
          <w:szCs w:val="20"/>
          <w:lang w:eastAsia="tr-TR"/>
        </w:rPr>
        <w:t>Official Gazette of April 30th, 2003 No. 25094, top limit of retail sale price for non-free</w:t>
      </w:r>
      <w:r w:rsidR="00762860" w:rsidRPr="007366EE">
        <w:rPr>
          <w:rFonts w:cs="CenturyGothic"/>
          <w:sz w:val="20"/>
          <w:szCs w:val="20"/>
          <w:lang w:eastAsia="tr-TR"/>
        </w:rPr>
        <w:t xml:space="preserve"> </w:t>
      </w:r>
      <w:r w:rsidRPr="007366EE">
        <w:rPr>
          <w:rFonts w:cs="CenturyGothic"/>
          <w:sz w:val="20"/>
          <w:szCs w:val="20"/>
          <w:lang w:eastAsia="tr-TR"/>
        </w:rPr>
        <w:t>consumers shall be calculated according to the formula below:</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proofErr w:type="spellStart"/>
      <w:proofErr w:type="gramStart"/>
      <w:r w:rsidRPr="007366EE">
        <w:rPr>
          <w:rFonts w:cs="CenturyGothic"/>
          <w:sz w:val="20"/>
          <w:szCs w:val="20"/>
          <w:lang w:eastAsia="tr-TR"/>
        </w:rPr>
        <w:t>fri</w:t>
      </w:r>
      <w:proofErr w:type="spellEnd"/>
      <w:proofErr w:type="gramEnd"/>
      <w:r w:rsidRPr="007366EE">
        <w:rPr>
          <w:rFonts w:cs="CenturyGothic"/>
          <w:sz w:val="20"/>
          <w:szCs w:val="20"/>
          <w:lang w:eastAsia="tr-TR"/>
        </w:rPr>
        <w:t xml:space="preserve"> = </w:t>
      </w:r>
      <w:proofErr w:type="spellStart"/>
      <w:r w:rsidRPr="007366EE">
        <w:rPr>
          <w:rFonts w:cs="CenturyGothic"/>
          <w:sz w:val="20"/>
          <w:szCs w:val="20"/>
          <w:lang w:eastAsia="tr-TR"/>
        </w:rPr>
        <w:t>fwdi</w:t>
      </w:r>
      <w:proofErr w:type="spellEnd"/>
      <w:r w:rsidRPr="007366EE">
        <w:rPr>
          <w:rFonts w:cs="CenturyGothic"/>
          <w:sz w:val="20"/>
          <w:szCs w:val="20"/>
          <w:lang w:eastAsia="tr-TR"/>
        </w:rPr>
        <w:t xml:space="preserve"> + 0.3 (</w:t>
      </w:r>
      <w:proofErr w:type="spellStart"/>
      <w:r w:rsidRPr="007366EE">
        <w:rPr>
          <w:rFonts w:cs="CenturyGothic"/>
          <w:sz w:val="20"/>
          <w:szCs w:val="20"/>
          <w:lang w:eastAsia="tr-TR"/>
        </w:rPr>
        <w:t>fwdi</w:t>
      </w:r>
      <w:proofErr w:type="spellEnd"/>
      <w:r w:rsidRPr="007366EE">
        <w:rPr>
          <w:rFonts w:cs="CenturyGothic"/>
          <w:sz w:val="20"/>
          <w:szCs w:val="20"/>
          <w:lang w:eastAsia="tr-TR"/>
        </w:rPr>
        <w:t xml:space="preserve"> - Vi) Here:</w:t>
      </w:r>
    </w:p>
    <w:p w:rsidR="003005CB" w:rsidRPr="007366EE" w:rsidRDefault="003005CB" w:rsidP="00CE0266">
      <w:pPr>
        <w:autoSpaceDE w:val="0"/>
        <w:autoSpaceDN w:val="0"/>
        <w:adjustRightInd w:val="0"/>
        <w:spacing w:after="0"/>
        <w:rPr>
          <w:rFonts w:cs="CenturyGothic"/>
          <w:sz w:val="20"/>
          <w:szCs w:val="20"/>
          <w:lang w:eastAsia="tr-TR"/>
        </w:rPr>
      </w:pPr>
      <w:proofErr w:type="spellStart"/>
      <w:proofErr w:type="gramStart"/>
      <w:r w:rsidRPr="007366EE">
        <w:rPr>
          <w:rFonts w:cs="CenturyGothic"/>
          <w:sz w:val="20"/>
          <w:szCs w:val="20"/>
          <w:lang w:eastAsia="tr-TR"/>
        </w:rPr>
        <w:t>i</w:t>
      </w:r>
      <w:proofErr w:type="spellEnd"/>
      <w:proofErr w:type="gramEnd"/>
      <w:r w:rsidRPr="007366EE">
        <w:rPr>
          <w:rFonts w:cs="CenturyGothic"/>
          <w:sz w:val="20"/>
          <w:szCs w:val="20"/>
          <w:lang w:eastAsia="tr-TR"/>
        </w:rPr>
        <w:t>: means the month to apply the rate,</w:t>
      </w:r>
    </w:p>
    <w:p w:rsidR="003005CB" w:rsidRPr="007366EE" w:rsidRDefault="003005CB" w:rsidP="00CE0266">
      <w:pPr>
        <w:autoSpaceDE w:val="0"/>
        <w:autoSpaceDN w:val="0"/>
        <w:adjustRightInd w:val="0"/>
        <w:spacing w:after="0"/>
        <w:rPr>
          <w:rFonts w:cs="CenturyGothic"/>
          <w:sz w:val="20"/>
          <w:szCs w:val="20"/>
          <w:lang w:eastAsia="tr-TR"/>
        </w:rPr>
      </w:pPr>
      <w:proofErr w:type="spellStart"/>
      <w:proofErr w:type="gramStart"/>
      <w:r w:rsidRPr="007366EE">
        <w:rPr>
          <w:rFonts w:cs="CenturyGothic"/>
          <w:sz w:val="20"/>
          <w:szCs w:val="20"/>
          <w:lang w:eastAsia="tr-TR"/>
        </w:rPr>
        <w:t>fri</w:t>
      </w:r>
      <w:proofErr w:type="spellEnd"/>
      <w:r w:rsidRPr="007366EE">
        <w:rPr>
          <w:rFonts w:cs="CenturyGothic"/>
          <w:sz w:val="20"/>
          <w:szCs w:val="20"/>
          <w:lang w:eastAsia="tr-TR"/>
        </w:rPr>
        <w:t xml:space="preserve"> :</w:t>
      </w:r>
      <w:proofErr w:type="gramEnd"/>
      <w:r w:rsidRPr="007366EE">
        <w:rPr>
          <w:rFonts w:cs="CenturyGothic"/>
          <w:sz w:val="20"/>
          <w:szCs w:val="20"/>
          <w:lang w:eastAsia="tr-TR"/>
        </w:rPr>
        <w:t xml:space="preserve"> means top limit of natural gas sale price to be appl</w:t>
      </w:r>
      <w:r w:rsidR="00762860" w:rsidRPr="007366EE">
        <w:rPr>
          <w:rFonts w:cs="CenturyGothic"/>
          <w:sz w:val="20"/>
          <w:szCs w:val="20"/>
          <w:lang w:eastAsia="tr-TR"/>
        </w:rPr>
        <w:t xml:space="preserve">ied for subscribers, other than </w:t>
      </w:r>
      <w:r w:rsidRPr="007366EE">
        <w:rPr>
          <w:rFonts w:cs="CenturyGothic"/>
          <w:sz w:val="20"/>
          <w:szCs w:val="20"/>
          <w:lang w:eastAsia="tr-TR"/>
        </w:rPr>
        <w:t xml:space="preserve">public institutions and organizations, by the distribution company in month </w:t>
      </w:r>
      <w:proofErr w:type="spellStart"/>
      <w:r w:rsidRPr="007366EE">
        <w:rPr>
          <w:rFonts w:cs="CenturyGothic"/>
          <w:sz w:val="20"/>
          <w:szCs w:val="20"/>
          <w:lang w:eastAsia="tr-TR"/>
        </w:rPr>
        <w:t>i</w:t>
      </w:r>
      <w:proofErr w:type="spellEnd"/>
      <w:r w:rsidRPr="007366EE">
        <w:rPr>
          <w:rFonts w:cs="CenturyGothic"/>
          <w:sz w:val="20"/>
          <w:szCs w:val="20"/>
          <w:lang w:eastAsia="tr-TR"/>
        </w:rPr>
        <w:t xml:space="preserve"> (TL/m3)</w:t>
      </w:r>
    </w:p>
    <w:p w:rsidR="003005CB" w:rsidRPr="007366EE" w:rsidRDefault="003005CB"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proofErr w:type="spellStart"/>
      <w:proofErr w:type="gramStart"/>
      <w:r w:rsidRPr="007366EE">
        <w:rPr>
          <w:rFonts w:cs="CenturyGothic"/>
          <w:sz w:val="20"/>
          <w:szCs w:val="20"/>
          <w:lang w:eastAsia="tr-TR"/>
        </w:rPr>
        <w:t>fwdi</w:t>
      </w:r>
      <w:proofErr w:type="spellEnd"/>
      <w:r w:rsidRPr="007366EE">
        <w:rPr>
          <w:rFonts w:cs="CenturyGothic"/>
          <w:sz w:val="20"/>
          <w:szCs w:val="20"/>
          <w:lang w:eastAsia="tr-TR"/>
        </w:rPr>
        <w:t xml:space="preserve"> :</w:t>
      </w:r>
      <w:proofErr w:type="gramEnd"/>
      <w:r w:rsidRPr="007366EE">
        <w:rPr>
          <w:rFonts w:cs="CenturyGothic"/>
          <w:sz w:val="20"/>
          <w:szCs w:val="20"/>
          <w:lang w:eastAsia="tr-TR"/>
        </w:rPr>
        <w:t xml:space="preserve"> means total natural gas wholesale price includi</w:t>
      </w:r>
      <w:r w:rsidR="00762860" w:rsidRPr="007366EE">
        <w:rPr>
          <w:rFonts w:cs="CenturyGothic"/>
          <w:sz w:val="20"/>
          <w:szCs w:val="20"/>
          <w:lang w:eastAsia="tr-TR"/>
        </w:rPr>
        <w:t xml:space="preserve">ng Excise Tax, transmission and </w:t>
      </w:r>
      <w:r w:rsidRPr="007366EE">
        <w:rPr>
          <w:rFonts w:cs="CenturyGothic"/>
          <w:sz w:val="20"/>
          <w:szCs w:val="20"/>
          <w:lang w:eastAsia="tr-TR"/>
        </w:rPr>
        <w:t xml:space="preserve">storage price to be applied for distribution companies by BOTAS in month </w:t>
      </w:r>
      <w:proofErr w:type="spellStart"/>
      <w:r w:rsidRPr="007366EE">
        <w:rPr>
          <w:rFonts w:cs="CenturyGothic"/>
          <w:sz w:val="20"/>
          <w:szCs w:val="20"/>
          <w:lang w:eastAsia="tr-TR"/>
        </w:rPr>
        <w:t>i</w:t>
      </w:r>
      <w:proofErr w:type="spellEnd"/>
      <w:r w:rsidRPr="007366EE">
        <w:rPr>
          <w:rFonts w:cs="CenturyGothic"/>
          <w:sz w:val="20"/>
          <w:szCs w:val="20"/>
          <w:lang w:eastAsia="tr-TR"/>
        </w:rPr>
        <w:t xml:space="preserve"> (TL / m3)</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3005CB" w:rsidP="00CE0266">
      <w:pPr>
        <w:autoSpaceDE w:val="0"/>
        <w:autoSpaceDN w:val="0"/>
        <w:adjustRightInd w:val="0"/>
        <w:spacing w:after="0"/>
        <w:rPr>
          <w:rFonts w:cs="CenturyGothic"/>
          <w:sz w:val="20"/>
          <w:szCs w:val="20"/>
          <w:lang w:eastAsia="tr-TR"/>
        </w:rPr>
      </w:pPr>
      <w:proofErr w:type="gramStart"/>
      <w:r w:rsidRPr="007366EE">
        <w:rPr>
          <w:rFonts w:cs="CenturyGothic"/>
          <w:sz w:val="20"/>
          <w:szCs w:val="20"/>
          <w:lang w:eastAsia="tr-TR"/>
        </w:rPr>
        <w:t>vi</w:t>
      </w:r>
      <w:proofErr w:type="gramEnd"/>
      <w:r w:rsidRPr="007366EE">
        <w:rPr>
          <w:rFonts w:cs="CenturyGothic"/>
          <w:sz w:val="20"/>
          <w:szCs w:val="20"/>
          <w:lang w:eastAsia="tr-TR"/>
        </w:rPr>
        <w:t xml:space="preserve">: means the excise tax prescribed for month </w:t>
      </w:r>
      <w:proofErr w:type="spellStart"/>
      <w:r w:rsidRPr="007366EE">
        <w:rPr>
          <w:rFonts w:cs="CenturyGothic"/>
          <w:sz w:val="20"/>
          <w:szCs w:val="20"/>
          <w:lang w:eastAsia="tr-TR"/>
        </w:rPr>
        <w:t>i</w:t>
      </w:r>
      <w:proofErr w:type="spellEnd"/>
      <w:r w:rsidRPr="007366EE">
        <w:rPr>
          <w:rFonts w:cs="CenturyGothic"/>
          <w:sz w:val="20"/>
          <w:szCs w:val="20"/>
          <w:lang w:eastAsia="tr-TR"/>
        </w:rPr>
        <w:t xml:space="preserve"> </w:t>
      </w:r>
      <w:r w:rsidR="00762860" w:rsidRPr="007366EE">
        <w:rPr>
          <w:rFonts w:cs="CenturyGothic"/>
          <w:sz w:val="20"/>
          <w:szCs w:val="20"/>
          <w:lang w:eastAsia="tr-TR"/>
        </w:rPr>
        <w:t xml:space="preserve">(TL / m3) </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In accordance with the same letter, top limit of retail sale price for free consumers</w:t>
      </w:r>
      <w:r w:rsidR="00762860" w:rsidRPr="007366EE">
        <w:rPr>
          <w:rFonts w:cs="CenturyGothic"/>
          <w:sz w:val="20"/>
          <w:szCs w:val="20"/>
          <w:lang w:eastAsia="tr-TR"/>
        </w:rPr>
        <w:t xml:space="preserve"> </w:t>
      </w:r>
      <w:r w:rsidRPr="007366EE">
        <w:rPr>
          <w:rFonts w:cs="CenturyGothic"/>
          <w:sz w:val="20"/>
          <w:szCs w:val="20"/>
          <w:lang w:eastAsia="tr-TR"/>
        </w:rPr>
        <w:t>shall be calculated according to the formula below:</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proofErr w:type="spellStart"/>
      <w:proofErr w:type="gramStart"/>
      <w:r w:rsidRPr="007366EE">
        <w:rPr>
          <w:rFonts w:cs="CenturyGothic"/>
          <w:sz w:val="20"/>
          <w:szCs w:val="20"/>
          <w:lang w:eastAsia="tr-TR"/>
        </w:rPr>
        <w:t>fri</w:t>
      </w:r>
      <w:proofErr w:type="spellEnd"/>
      <w:proofErr w:type="gramEnd"/>
      <w:r w:rsidRPr="007366EE">
        <w:rPr>
          <w:rFonts w:cs="CenturyGothic"/>
          <w:sz w:val="20"/>
          <w:szCs w:val="20"/>
          <w:lang w:eastAsia="tr-TR"/>
        </w:rPr>
        <w:t xml:space="preserve"> = </w:t>
      </w:r>
      <w:proofErr w:type="spellStart"/>
      <w:r w:rsidRPr="007366EE">
        <w:rPr>
          <w:rFonts w:cs="CenturyGothic"/>
          <w:sz w:val="20"/>
          <w:szCs w:val="20"/>
          <w:lang w:eastAsia="tr-TR"/>
        </w:rPr>
        <w:t>fwdi</w:t>
      </w:r>
      <w:proofErr w:type="spellEnd"/>
      <w:r w:rsidRPr="007366EE">
        <w:rPr>
          <w:rFonts w:cs="CenturyGothic"/>
          <w:sz w:val="20"/>
          <w:szCs w:val="20"/>
          <w:lang w:eastAsia="tr-TR"/>
        </w:rPr>
        <w:t xml:space="preserve"> + 0.11 (</w:t>
      </w:r>
      <w:proofErr w:type="spellStart"/>
      <w:r w:rsidRPr="007366EE">
        <w:rPr>
          <w:rFonts w:cs="CenturyGothic"/>
          <w:sz w:val="20"/>
          <w:szCs w:val="20"/>
          <w:lang w:eastAsia="tr-TR"/>
        </w:rPr>
        <w:t>fwdi</w:t>
      </w:r>
      <w:proofErr w:type="spellEnd"/>
      <w:r w:rsidRPr="007366EE">
        <w:rPr>
          <w:rFonts w:cs="CenturyGothic"/>
          <w:sz w:val="20"/>
          <w:szCs w:val="20"/>
          <w:lang w:eastAsia="tr-TR"/>
        </w:rPr>
        <w:t xml:space="preserve"> - Vi)</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Here: </w:t>
      </w:r>
      <w:proofErr w:type="spellStart"/>
      <w:r w:rsidRPr="007366EE">
        <w:rPr>
          <w:rFonts w:cs="CenturyGothic"/>
          <w:sz w:val="20"/>
          <w:szCs w:val="20"/>
          <w:lang w:eastAsia="tr-TR"/>
        </w:rPr>
        <w:t>i</w:t>
      </w:r>
      <w:proofErr w:type="spellEnd"/>
      <w:r w:rsidRPr="007366EE">
        <w:rPr>
          <w:rFonts w:cs="CenturyGothic"/>
          <w:sz w:val="20"/>
          <w:szCs w:val="20"/>
          <w:lang w:eastAsia="tr-TR"/>
        </w:rPr>
        <w:t>: means top limit of natural gas sale price to be applied for subscribers, other</w:t>
      </w:r>
      <w:r w:rsidR="00762860" w:rsidRPr="007366EE">
        <w:rPr>
          <w:rFonts w:cs="CenturyGothic"/>
          <w:sz w:val="20"/>
          <w:szCs w:val="20"/>
          <w:lang w:eastAsia="tr-TR"/>
        </w:rPr>
        <w:t xml:space="preserve"> </w:t>
      </w:r>
      <w:r w:rsidRPr="007366EE">
        <w:rPr>
          <w:rFonts w:cs="CenturyGothic"/>
          <w:sz w:val="20"/>
          <w:szCs w:val="20"/>
          <w:lang w:eastAsia="tr-TR"/>
        </w:rPr>
        <w:t>than public institutions and organizations, by th</w:t>
      </w:r>
      <w:r w:rsidR="00762860" w:rsidRPr="007366EE">
        <w:rPr>
          <w:rFonts w:cs="CenturyGothic"/>
          <w:sz w:val="20"/>
          <w:szCs w:val="20"/>
          <w:lang w:eastAsia="tr-TR"/>
        </w:rPr>
        <w:t xml:space="preserve">e distribution company in month </w:t>
      </w:r>
      <w:proofErr w:type="spellStart"/>
      <w:proofErr w:type="gramStart"/>
      <w:r w:rsidRPr="007366EE">
        <w:rPr>
          <w:rFonts w:cs="CenturyGothic"/>
          <w:sz w:val="20"/>
          <w:szCs w:val="20"/>
          <w:lang w:eastAsia="tr-TR"/>
        </w:rPr>
        <w:t>i</w:t>
      </w:r>
      <w:proofErr w:type="spellEnd"/>
      <w:r w:rsidRPr="007366EE">
        <w:rPr>
          <w:rFonts w:cs="CenturyGothic"/>
          <w:sz w:val="20"/>
          <w:szCs w:val="20"/>
          <w:lang w:eastAsia="tr-TR"/>
        </w:rPr>
        <w:t>(</w:t>
      </w:r>
      <w:proofErr w:type="gramEnd"/>
      <w:r w:rsidRPr="007366EE">
        <w:rPr>
          <w:rFonts w:cs="CenturyGothic"/>
          <w:sz w:val="20"/>
          <w:szCs w:val="20"/>
          <w:lang w:eastAsia="tr-TR"/>
        </w:rPr>
        <w:t>TL/m3)</w:t>
      </w:r>
    </w:p>
    <w:p w:rsidR="00762860" w:rsidRPr="007366EE" w:rsidRDefault="00762860" w:rsidP="00CE0266">
      <w:pPr>
        <w:autoSpaceDE w:val="0"/>
        <w:autoSpaceDN w:val="0"/>
        <w:adjustRightInd w:val="0"/>
        <w:spacing w:after="0"/>
        <w:rPr>
          <w:rFonts w:cs="CenturyGothic"/>
          <w:sz w:val="20"/>
          <w:szCs w:val="20"/>
          <w:lang w:eastAsia="tr-TR"/>
        </w:rPr>
      </w:pPr>
    </w:p>
    <w:p w:rsidR="003005CB" w:rsidRPr="007366EE" w:rsidRDefault="003005CB" w:rsidP="00CE0266">
      <w:pPr>
        <w:autoSpaceDE w:val="0"/>
        <w:autoSpaceDN w:val="0"/>
        <w:adjustRightInd w:val="0"/>
        <w:spacing w:after="0"/>
        <w:rPr>
          <w:rFonts w:cs="CenturyGothic"/>
          <w:sz w:val="20"/>
          <w:szCs w:val="20"/>
          <w:lang w:eastAsia="tr-TR"/>
        </w:rPr>
      </w:pPr>
      <w:proofErr w:type="spellStart"/>
      <w:r w:rsidRPr="007366EE">
        <w:rPr>
          <w:rFonts w:cs="CenturyGothic"/>
          <w:sz w:val="20"/>
          <w:szCs w:val="20"/>
          <w:lang w:eastAsia="tr-TR"/>
        </w:rPr>
        <w:t>fwdi</w:t>
      </w:r>
      <w:proofErr w:type="spellEnd"/>
      <w:r w:rsidRPr="007366EE">
        <w:rPr>
          <w:rFonts w:cs="CenturyGothic"/>
          <w:sz w:val="20"/>
          <w:szCs w:val="20"/>
          <w:lang w:eastAsia="tr-TR"/>
        </w:rPr>
        <w:t xml:space="preserve"> : means total natural gas wholesale price including Excise Tax, transmission and</w:t>
      </w:r>
      <w:r w:rsidR="00762860" w:rsidRPr="007366EE">
        <w:rPr>
          <w:rFonts w:cs="CenturyGothic"/>
          <w:sz w:val="20"/>
          <w:szCs w:val="20"/>
          <w:lang w:eastAsia="tr-TR"/>
        </w:rPr>
        <w:t xml:space="preserve"> </w:t>
      </w:r>
      <w:r w:rsidRPr="007366EE">
        <w:rPr>
          <w:rFonts w:cs="CenturyGothic"/>
          <w:sz w:val="20"/>
          <w:szCs w:val="20"/>
          <w:lang w:eastAsia="tr-TR"/>
        </w:rPr>
        <w:t xml:space="preserve">storage price to be applied for distribution companies by BOTAS in month </w:t>
      </w:r>
      <w:proofErr w:type="spellStart"/>
      <w:r w:rsidRPr="007366EE">
        <w:rPr>
          <w:rFonts w:cs="CenturyGothic"/>
          <w:sz w:val="20"/>
          <w:szCs w:val="20"/>
          <w:lang w:eastAsia="tr-TR"/>
        </w:rPr>
        <w:t>i</w:t>
      </w:r>
      <w:proofErr w:type="spellEnd"/>
      <w:r w:rsidRPr="007366EE">
        <w:rPr>
          <w:rFonts w:cs="CenturyGothic"/>
          <w:sz w:val="20"/>
          <w:szCs w:val="20"/>
          <w:lang w:eastAsia="tr-TR"/>
        </w:rPr>
        <w:t xml:space="preserve"> (TL / m3),</w:t>
      </w:r>
    </w:p>
    <w:p w:rsidR="00762860" w:rsidRPr="007366EE" w:rsidRDefault="00762860" w:rsidP="00CE0266">
      <w:pPr>
        <w:autoSpaceDE w:val="0"/>
        <w:autoSpaceDN w:val="0"/>
        <w:adjustRightInd w:val="0"/>
        <w:spacing w:after="0"/>
        <w:rPr>
          <w:rFonts w:cs="CenturyGothic"/>
          <w:sz w:val="20"/>
          <w:szCs w:val="20"/>
          <w:lang w:eastAsia="tr-TR"/>
        </w:rPr>
      </w:pPr>
    </w:p>
    <w:p w:rsidR="00762860" w:rsidRPr="007366EE" w:rsidRDefault="003005CB" w:rsidP="00CE0266">
      <w:pPr>
        <w:autoSpaceDE w:val="0"/>
        <w:autoSpaceDN w:val="0"/>
        <w:adjustRightInd w:val="0"/>
        <w:spacing w:after="0"/>
        <w:rPr>
          <w:rFonts w:cs="CenturyGothic"/>
          <w:sz w:val="20"/>
          <w:szCs w:val="20"/>
          <w:lang w:eastAsia="tr-TR"/>
        </w:rPr>
      </w:pPr>
      <w:proofErr w:type="gramStart"/>
      <w:r w:rsidRPr="007366EE">
        <w:rPr>
          <w:rFonts w:cs="CenturyGothic"/>
          <w:sz w:val="20"/>
          <w:szCs w:val="20"/>
          <w:lang w:eastAsia="tr-TR"/>
        </w:rPr>
        <w:t>Vi :</w:t>
      </w:r>
      <w:proofErr w:type="gramEnd"/>
      <w:r w:rsidRPr="007366EE">
        <w:rPr>
          <w:rFonts w:cs="CenturyGothic"/>
          <w:sz w:val="20"/>
          <w:szCs w:val="20"/>
          <w:lang w:eastAsia="tr-TR"/>
        </w:rPr>
        <w:t xml:space="preserve"> means the excise tax p</w:t>
      </w:r>
      <w:r w:rsidR="00762860" w:rsidRPr="007366EE">
        <w:rPr>
          <w:rFonts w:cs="CenturyGothic"/>
          <w:sz w:val="20"/>
          <w:szCs w:val="20"/>
          <w:lang w:eastAsia="tr-TR"/>
        </w:rPr>
        <w:t xml:space="preserve">rescribed for month </w:t>
      </w:r>
      <w:proofErr w:type="spellStart"/>
      <w:r w:rsidR="00762860" w:rsidRPr="007366EE">
        <w:rPr>
          <w:rFonts w:cs="CenturyGothic"/>
          <w:sz w:val="20"/>
          <w:szCs w:val="20"/>
          <w:lang w:eastAsia="tr-TR"/>
        </w:rPr>
        <w:t>i</w:t>
      </w:r>
      <w:proofErr w:type="spellEnd"/>
      <w:r w:rsidR="00762860" w:rsidRPr="007366EE">
        <w:rPr>
          <w:rFonts w:cs="CenturyGothic"/>
          <w:sz w:val="20"/>
          <w:szCs w:val="20"/>
          <w:lang w:eastAsia="tr-TR"/>
        </w:rPr>
        <w:t xml:space="preserve"> (TL / m3)</w:t>
      </w:r>
    </w:p>
    <w:p w:rsidR="00762860" w:rsidRPr="007366EE" w:rsidRDefault="00762860" w:rsidP="00CE0266">
      <w:pPr>
        <w:autoSpaceDE w:val="0"/>
        <w:autoSpaceDN w:val="0"/>
        <w:adjustRightInd w:val="0"/>
        <w:spacing w:after="0"/>
        <w:rPr>
          <w:rFonts w:cs="CenturyGothic"/>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92378" w:rsidRDefault="00392378" w:rsidP="00CE0266">
      <w:pPr>
        <w:autoSpaceDE w:val="0"/>
        <w:autoSpaceDN w:val="0"/>
        <w:adjustRightInd w:val="0"/>
        <w:spacing w:after="0"/>
        <w:rPr>
          <w:rFonts w:cs="CenturyGothic"/>
          <w:b/>
          <w:sz w:val="20"/>
          <w:szCs w:val="20"/>
          <w:lang w:eastAsia="tr-TR"/>
        </w:rPr>
      </w:pPr>
    </w:p>
    <w:p w:rsidR="003005CB" w:rsidRPr="007366EE" w:rsidRDefault="003005CB" w:rsidP="00CE0266">
      <w:pPr>
        <w:autoSpaceDE w:val="0"/>
        <w:autoSpaceDN w:val="0"/>
        <w:adjustRightInd w:val="0"/>
        <w:spacing w:after="0"/>
        <w:rPr>
          <w:rFonts w:cs="CenturyGothic"/>
          <w:b/>
          <w:sz w:val="20"/>
          <w:szCs w:val="20"/>
          <w:lang w:eastAsia="tr-TR"/>
        </w:rPr>
      </w:pPr>
      <w:r w:rsidRPr="007366EE">
        <w:rPr>
          <w:rFonts w:cs="CenturyGothic"/>
          <w:b/>
          <w:sz w:val="20"/>
          <w:szCs w:val="20"/>
          <w:lang w:eastAsia="tr-TR"/>
        </w:rPr>
        <w:lastRenderedPageBreak/>
        <w:t>Corporate Tax</w:t>
      </w:r>
    </w:p>
    <w:p w:rsidR="003005CB" w:rsidRPr="007366EE" w:rsidRDefault="003005CB" w:rsidP="00CE0266">
      <w:pPr>
        <w:autoSpaceDE w:val="0"/>
        <w:autoSpaceDN w:val="0"/>
        <w:adjustRightInd w:val="0"/>
        <w:spacing w:after="0"/>
        <w:rPr>
          <w:rFonts w:cs="CenturyGothic"/>
          <w:sz w:val="20"/>
          <w:szCs w:val="20"/>
          <w:lang w:eastAsia="tr-TR"/>
        </w:rPr>
      </w:pPr>
      <w:r w:rsidRPr="007366EE">
        <w:rPr>
          <w:rFonts w:cs="CenturyGothic"/>
          <w:sz w:val="20"/>
          <w:szCs w:val="20"/>
          <w:lang w:eastAsia="tr-TR"/>
        </w:rPr>
        <w:t xml:space="preserve">Profits obtained by companies established in Turkey, </w:t>
      </w:r>
      <w:r w:rsidR="00762860" w:rsidRPr="007366EE">
        <w:rPr>
          <w:rFonts w:cs="CenturyGothic"/>
          <w:sz w:val="20"/>
          <w:szCs w:val="20"/>
          <w:lang w:eastAsia="tr-TR"/>
        </w:rPr>
        <w:t xml:space="preserve">limited liability companies and </w:t>
      </w:r>
      <w:r w:rsidRPr="007366EE">
        <w:rPr>
          <w:rFonts w:cs="CenturyGothic"/>
          <w:sz w:val="20"/>
          <w:szCs w:val="20"/>
          <w:lang w:eastAsia="tr-TR"/>
        </w:rPr>
        <w:t>Turkey branches and agencies of foreign companie</w:t>
      </w:r>
      <w:r w:rsidR="00762860" w:rsidRPr="007366EE">
        <w:rPr>
          <w:rFonts w:cs="CenturyGothic"/>
          <w:sz w:val="20"/>
          <w:szCs w:val="20"/>
          <w:lang w:eastAsia="tr-TR"/>
        </w:rPr>
        <w:t xml:space="preserve">s are subject to Corporate Tax. </w:t>
      </w:r>
      <w:r w:rsidRPr="007366EE">
        <w:rPr>
          <w:rFonts w:cs="CenturyGothic"/>
          <w:sz w:val="20"/>
          <w:szCs w:val="20"/>
          <w:lang w:eastAsia="tr-TR"/>
        </w:rPr>
        <w:t>Legal domicile of the company is important in terms</w:t>
      </w:r>
      <w:r w:rsidR="00762860" w:rsidRPr="007366EE">
        <w:rPr>
          <w:rFonts w:cs="CenturyGothic"/>
          <w:sz w:val="20"/>
          <w:szCs w:val="20"/>
          <w:lang w:eastAsia="tr-TR"/>
        </w:rPr>
        <w:t xml:space="preserve"> of taxation. Whereas companies </w:t>
      </w:r>
      <w:r w:rsidRPr="007366EE">
        <w:rPr>
          <w:rFonts w:cs="CenturyGothic"/>
          <w:sz w:val="20"/>
          <w:szCs w:val="20"/>
          <w:lang w:eastAsia="tr-TR"/>
        </w:rPr>
        <w:t>established in Turkey are fully liable to Corporate Ta</w:t>
      </w:r>
      <w:r w:rsidR="00762860" w:rsidRPr="007366EE">
        <w:rPr>
          <w:rFonts w:cs="CenturyGothic"/>
          <w:sz w:val="20"/>
          <w:szCs w:val="20"/>
          <w:lang w:eastAsia="tr-TR"/>
        </w:rPr>
        <w:t xml:space="preserve">x, companies established abroad </w:t>
      </w:r>
      <w:r w:rsidRPr="007366EE">
        <w:rPr>
          <w:rFonts w:cs="CenturyGothic"/>
          <w:sz w:val="20"/>
          <w:szCs w:val="20"/>
          <w:lang w:eastAsia="tr-TR"/>
        </w:rPr>
        <w:t>are partially subject to the tax and taxation is imposed on</w:t>
      </w:r>
      <w:r w:rsidR="00762860" w:rsidRPr="007366EE">
        <w:rPr>
          <w:rFonts w:cs="CenturyGothic"/>
          <w:sz w:val="20"/>
          <w:szCs w:val="20"/>
          <w:lang w:eastAsia="tr-TR"/>
        </w:rPr>
        <w:t xml:space="preserve">ly on the activities in Turkey. </w:t>
      </w:r>
      <w:r w:rsidRPr="007366EE">
        <w:rPr>
          <w:rFonts w:cs="CenturyGothic"/>
          <w:sz w:val="20"/>
          <w:szCs w:val="20"/>
          <w:lang w:eastAsia="tr-TR"/>
        </w:rPr>
        <w:t>Potential purchasers should examine provisions of</w:t>
      </w:r>
      <w:r w:rsidR="00762860" w:rsidRPr="007366EE">
        <w:rPr>
          <w:rFonts w:cs="CenturyGothic"/>
          <w:sz w:val="20"/>
          <w:szCs w:val="20"/>
          <w:lang w:eastAsia="tr-TR"/>
        </w:rPr>
        <w:t xml:space="preserve"> Corporate Tax Law No. 5520 and </w:t>
      </w:r>
      <w:r w:rsidRPr="007366EE">
        <w:rPr>
          <w:rFonts w:cs="CenturyGothic"/>
          <w:sz w:val="20"/>
          <w:szCs w:val="20"/>
          <w:lang w:eastAsia="tr-TR"/>
        </w:rPr>
        <w:t>Income Tax Law No. 193 and related decrees for tax liabilities to be imposed.</w:t>
      </w:r>
    </w:p>
    <w:p w:rsidR="003005CB" w:rsidRPr="007366EE" w:rsidRDefault="003005CB" w:rsidP="00CE0266">
      <w:pPr>
        <w:autoSpaceDE w:val="0"/>
        <w:autoSpaceDN w:val="0"/>
        <w:adjustRightInd w:val="0"/>
        <w:spacing w:after="0"/>
        <w:rPr>
          <w:rFonts w:cs="CenturyGothic"/>
          <w:sz w:val="20"/>
          <w:szCs w:val="20"/>
          <w:lang w:eastAsia="tr-TR"/>
        </w:rPr>
      </w:pPr>
    </w:p>
    <w:p w:rsidR="001B1B68" w:rsidRPr="007366EE" w:rsidRDefault="001B1B68" w:rsidP="001B1B68">
      <w:pPr>
        <w:spacing w:after="0"/>
        <w:jc w:val="center"/>
        <w:rPr>
          <w:b/>
          <w:bCs/>
          <w:color w:val="000000"/>
          <w:sz w:val="20"/>
          <w:szCs w:val="20"/>
        </w:rPr>
      </w:pPr>
      <w:r w:rsidRPr="007366EE">
        <w:rPr>
          <w:b/>
          <w:bCs/>
          <w:color w:val="000000"/>
          <w:sz w:val="20"/>
          <w:szCs w:val="20"/>
        </w:rPr>
        <w:t>Guideline for Investment in the Natural Gas Market</w:t>
      </w:r>
    </w:p>
    <w:p w:rsidR="001B1B68" w:rsidRPr="007366EE" w:rsidRDefault="001B1B68" w:rsidP="001B1B68">
      <w:pPr>
        <w:spacing w:after="0"/>
        <w:jc w:val="both"/>
        <w:rPr>
          <w:color w:val="000000"/>
          <w:sz w:val="20"/>
          <w:szCs w:val="20"/>
        </w:rPr>
      </w:pPr>
      <w:r w:rsidRPr="007366EE">
        <w:rPr>
          <w:color w:val="000000"/>
          <w:sz w:val="20"/>
          <w:szCs w:val="20"/>
        </w:rPr>
        <w:t>The main duty of the Energy Market Regulatory Authority (EMRA), which assumed regulatory responsibilities pertaining to the natural gas market with the enactment of Natural Gas Market Law No. 4646, is to put in place and to implement regulatory measures to ensure the establishment of a liberal and competitive natural gas market where all market segments will be open to new entrants. According to Natural Gas Market Law No. 4646 natural gas market activities are; import, export, wholesale, transmission and distribution of natural gas.</w:t>
      </w:r>
    </w:p>
    <w:p w:rsidR="001B1B68" w:rsidRPr="007366EE" w:rsidRDefault="001B1B68" w:rsidP="001B1B68">
      <w:pPr>
        <w:spacing w:after="0"/>
        <w:jc w:val="both"/>
        <w:rPr>
          <w:sz w:val="20"/>
          <w:szCs w:val="20"/>
        </w:rPr>
      </w:pPr>
      <w:r w:rsidRPr="007366EE">
        <w:rPr>
          <w:sz w:val="20"/>
          <w:szCs w:val="20"/>
        </w:rPr>
        <w:t xml:space="preserve">Natural gas market legislation is enacted in conformity with the EU </w:t>
      </w:r>
      <w:proofErr w:type="spellStart"/>
      <w:r w:rsidRPr="007366EE">
        <w:rPr>
          <w:sz w:val="20"/>
          <w:szCs w:val="20"/>
        </w:rPr>
        <w:t>Acquis</w:t>
      </w:r>
      <w:proofErr w:type="spellEnd"/>
      <w:r w:rsidRPr="007366EE">
        <w:rPr>
          <w:sz w:val="20"/>
          <w:szCs w:val="20"/>
        </w:rPr>
        <w:t xml:space="preserve"> concerning natural gas market.</w:t>
      </w:r>
    </w:p>
    <w:p w:rsidR="001B1B68" w:rsidRPr="007366EE" w:rsidRDefault="001B1B68" w:rsidP="001B1B68">
      <w:pPr>
        <w:tabs>
          <w:tab w:val="left" w:pos="709"/>
        </w:tabs>
        <w:spacing w:after="0"/>
        <w:jc w:val="both"/>
        <w:rPr>
          <w:rFonts w:eastAsia="MS Mincho"/>
          <w:b/>
          <w:color w:val="000000"/>
          <w:sz w:val="20"/>
          <w:szCs w:val="20"/>
        </w:rPr>
      </w:pPr>
    </w:p>
    <w:p w:rsidR="001B1B68" w:rsidRPr="007366EE" w:rsidRDefault="001B1B68" w:rsidP="001B1B68">
      <w:pPr>
        <w:tabs>
          <w:tab w:val="left" w:pos="709"/>
        </w:tabs>
        <w:spacing w:after="0"/>
        <w:jc w:val="both"/>
        <w:rPr>
          <w:rFonts w:eastAsia="MS Mincho"/>
          <w:b/>
          <w:color w:val="000000"/>
          <w:sz w:val="20"/>
          <w:szCs w:val="20"/>
        </w:rPr>
      </w:pPr>
      <w:r w:rsidRPr="007366EE">
        <w:rPr>
          <w:rFonts w:eastAsia="MS Mincho"/>
          <w:b/>
          <w:color w:val="000000"/>
          <w:sz w:val="20"/>
          <w:szCs w:val="20"/>
        </w:rPr>
        <w:t>Types of Licenses</w:t>
      </w:r>
    </w:p>
    <w:p w:rsidR="001B1B68" w:rsidRPr="007366EE" w:rsidRDefault="001B1B68" w:rsidP="001B1B68">
      <w:pPr>
        <w:tabs>
          <w:tab w:val="left" w:pos="709"/>
        </w:tabs>
        <w:spacing w:after="0"/>
        <w:jc w:val="both"/>
        <w:rPr>
          <w:rFonts w:eastAsia="MS Mincho"/>
          <w:color w:val="000000"/>
          <w:sz w:val="20"/>
          <w:szCs w:val="20"/>
        </w:rPr>
      </w:pPr>
      <w:r w:rsidRPr="007366EE">
        <w:rPr>
          <w:rFonts w:eastAsia="MS Mincho"/>
          <w:color w:val="000000"/>
          <w:sz w:val="20"/>
          <w:szCs w:val="20"/>
        </w:rPr>
        <w:t>Types of licenses that shall be granted by the Authority, based on the activities to be conducted are; import license, transmission license, storage license, wholesale license, distribution license, compressed natural gas (CNG) license and export license. Licenses shall be issued to be valid for a minimum period of ten, a maximum period of thirty years.</w:t>
      </w:r>
    </w:p>
    <w:p w:rsidR="001B1B68" w:rsidRPr="007366EE" w:rsidRDefault="001B1B68" w:rsidP="001B1B68">
      <w:pPr>
        <w:tabs>
          <w:tab w:val="left" w:pos="709"/>
        </w:tabs>
        <w:spacing w:after="0"/>
        <w:jc w:val="both"/>
        <w:rPr>
          <w:rFonts w:eastAsia="MS Mincho"/>
          <w:color w:val="000000"/>
          <w:sz w:val="20"/>
          <w:szCs w:val="20"/>
        </w:rPr>
      </w:pPr>
    </w:p>
    <w:p w:rsidR="001B1B68" w:rsidRPr="007366EE" w:rsidRDefault="001B1B68" w:rsidP="001B1B68">
      <w:pPr>
        <w:tabs>
          <w:tab w:val="left" w:pos="709"/>
        </w:tabs>
        <w:spacing w:after="0"/>
        <w:jc w:val="both"/>
        <w:rPr>
          <w:rFonts w:eastAsia="MS Mincho"/>
          <w:color w:val="000000"/>
          <w:sz w:val="20"/>
          <w:szCs w:val="20"/>
        </w:rPr>
      </w:pPr>
      <w:r w:rsidRPr="007366EE">
        <w:rPr>
          <w:rFonts w:eastAsia="MS Mincho"/>
          <w:color w:val="000000"/>
          <w:sz w:val="20"/>
          <w:szCs w:val="20"/>
        </w:rPr>
        <w:t>Import companies shall conduct the activity of import of natural gas, in LNG or gaseous form, for the purpose of selling it to wholesale companies, eligible consumers or export companies or directly exporting it. Import companies shall be obligated to obtain a separate license for each import arrangement they enter into and may purchase natural gas from production companies, wholesale companies and import companies. The annual quantity of natural gas imported by any import company under one or more import licenses shall not exceed twenty percent of the total estimated national consumption in that calendar year as determined and announced by EMRA in the month of January every year. The sales of an import company under one or more import license may not exceed twenty percent of the estimated natural gas consumption amount announced by EMRA for the current year, in the month of January each year. Wholesale companies must meet all the conditions and obtain an import license in order to import natural gas. If the application for an import license is accepted by the Board, then an import license shall be issued. Import companies which submit with their applications any preliminary contract or statement showing that they will provide, within five years, the storage capacity to store locally ten percent of the quantity of natural gas to be imported in each calendar year shall be obligated to submit to the EMRA the lease contracts entered into for this purpose with licensed storage companies. In cases where an import company is selling natural gas to distribution companies and where the storage capacity provided as per provisions of paragraph five is inadequate, the relevant import company shall be given a time of five years as of the date the license is issued to take the necessary measures related to storage. If the storage facilities in the country at the end of such period are still inadequate, such period may be extended by up to two years by a Board decision.</w:t>
      </w:r>
    </w:p>
    <w:p w:rsidR="001B1B68" w:rsidRPr="007366EE" w:rsidRDefault="001B1B68" w:rsidP="001B1B68">
      <w:pPr>
        <w:tabs>
          <w:tab w:val="left" w:pos="709"/>
        </w:tabs>
        <w:spacing w:after="0"/>
        <w:jc w:val="both"/>
        <w:rPr>
          <w:rFonts w:eastAsia="MS Mincho"/>
          <w:color w:val="000000"/>
          <w:sz w:val="20"/>
          <w:szCs w:val="20"/>
        </w:rPr>
      </w:pPr>
    </w:p>
    <w:p w:rsidR="001B1B68" w:rsidRPr="0017633D" w:rsidRDefault="001B1B68" w:rsidP="001B1B68">
      <w:pPr>
        <w:pStyle w:val="NormalWeb"/>
        <w:spacing w:before="0" w:beforeAutospacing="0" w:after="0" w:afterAutospacing="0" w:line="276" w:lineRule="auto"/>
        <w:jc w:val="both"/>
        <w:rPr>
          <w:rFonts w:asciiTheme="minorHAnsi" w:hAnsiTheme="minorHAnsi"/>
          <w:sz w:val="20"/>
          <w:szCs w:val="20"/>
        </w:rPr>
      </w:pPr>
      <w:r w:rsidRPr="0017633D">
        <w:rPr>
          <w:rFonts w:asciiTheme="minorHAnsi" w:hAnsiTheme="minorHAnsi"/>
          <w:sz w:val="20"/>
          <w:szCs w:val="20"/>
        </w:rPr>
        <w:t>Transmission is defined in Natural Gas Market Law No: 4646 as natural gas delivery by gas pipeline networks excluding gathering lines used for generation purposes and distribution networks, or by delivery equipment for liquefied natural gas (LNG).</w:t>
      </w:r>
      <w:r w:rsidRPr="0017633D">
        <w:rPr>
          <w:rFonts w:asciiTheme="minorHAnsi" w:eastAsia="MS Mincho" w:hAnsiTheme="minorHAnsi"/>
          <w:color w:val="000000"/>
          <w:sz w:val="20"/>
          <w:szCs w:val="20"/>
        </w:rPr>
        <w:t xml:space="preserve"> Transmission licensee shall be responsible for his own part regarding performance of arrangements and all other services required for ensuring natural gas flow and operation of the system. In addition, the licensee shall be obligated to take all measures to ensure transmission of natural gas through the lines under his responsibility in a secure, effective and cost-efficient manner and take all other actions stipulated in the applicable legislation. The transmission licensees (LNG) shall transport liquefied natural gas (LNG) only in Turkish territorial waters and territory.</w:t>
      </w:r>
      <w:r w:rsidRPr="0017633D">
        <w:rPr>
          <w:rFonts w:asciiTheme="minorHAnsi" w:hAnsiTheme="minorHAnsi"/>
          <w:sz w:val="20"/>
          <w:szCs w:val="20"/>
        </w:rPr>
        <w:t xml:space="preserve"> </w:t>
      </w:r>
      <w:r w:rsidRPr="0017633D">
        <w:rPr>
          <w:rFonts w:asciiTheme="minorHAnsi" w:hAnsiTheme="minorHAnsi"/>
          <w:color w:val="FF0000"/>
          <w:sz w:val="20"/>
          <w:szCs w:val="20"/>
        </w:rPr>
        <w:t xml:space="preserve"> </w:t>
      </w:r>
      <w:r w:rsidRPr="0017633D">
        <w:rPr>
          <w:rFonts w:asciiTheme="minorHAnsi" w:hAnsiTheme="minorHAnsi"/>
          <w:sz w:val="20"/>
          <w:szCs w:val="20"/>
        </w:rPr>
        <w:t xml:space="preserve">Transmission license </w:t>
      </w:r>
      <w:r w:rsidRPr="0017633D">
        <w:rPr>
          <w:rFonts w:asciiTheme="minorHAnsi" w:eastAsia="MS Mincho" w:hAnsiTheme="minorHAnsi"/>
          <w:sz w:val="20"/>
          <w:szCs w:val="20"/>
        </w:rPr>
        <w:t xml:space="preserve">(LNG) </w:t>
      </w:r>
      <w:r w:rsidRPr="0017633D">
        <w:rPr>
          <w:rFonts w:asciiTheme="minorHAnsi" w:hAnsiTheme="minorHAnsi"/>
          <w:sz w:val="20"/>
          <w:szCs w:val="20"/>
        </w:rPr>
        <w:t xml:space="preserve">holder shall be liable to perform LNG filling, transport and delivery activities in accordance with the terms and procedures foreseen in the relevant legislation and to plan, design, construct, procure and operate the transport vehicles and facilities according to the foreseen standards.   </w:t>
      </w:r>
    </w:p>
    <w:p w:rsidR="001B1B68" w:rsidRPr="007366EE" w:rsidRDefault="001B1B68" w:rsidP="001B1B68">
      <w:pPr>
        <w:pStyle w:val="NormalWeb"/>
        <w:spacing w:before="0" w:beforeAutospacing="0" w:after="0" w:afterAutospacing="0" w:line="276" w:lineRule="auto"/>
        <w:ind w:firstLine="708"/>
        <w:jc w:val="both"/>
        <w:rPr>
          <w:color w:val="FF0000"/>
          <w:sz w:val="20"/>
          <w:szCs w:val="20"/>
        </w:rPr>
      </w:pPr>
    </w:p>
    <w:p w:rsidR="001B1B68" w:rsidRPr="007366EE" w:rsidRDefault="001B1B68" w:rsidP="001B1B68">
      <w:pPr>
        <w:tabs>
          <w:tab w:val="left" w:pos="709"/>
        </w:tabs>
        <w:spacing w:after="0"/>
        <w:jc w:val="both"/>
        <w:rPr>
          <w:rFonts w:eastAsia="MS Mincho"/>
          <w:color w:val="000000"/>
          <w:sz w:val="20"/>
          <w:szCs w:val="20"/>
        </w:rPr>
      </w:pPr>
      <w:r w:rsidRPr="007366EE">
        <w:rPr>
          <w:rFonts w:eastAsia="MS Mincho"/>
          <w:color w:val="000000"/>
          <w:sz w:val="20"/>
          <w:szCs w:val="20"/>
        </w:rPr>
        <w:lastRenderedPageBreak/>
        <w:t>The storage license holder shall be responsible for planning, designing, construction and operation of the underground and on-ground storage facilities and LNG facilities, in accordance with the principles, procedures and standards set forth in the applicable legislation and other legislation.</w:t>
      </w:r>
    </w:p>
    <w:p w:rsidR="001B1B68" w:rsidRPr="007366EE" w:rsidRDefault="001B1B68" w:rsidP="001B1B68">
      <w:pPr>
        <w:pStyle w:val="NormalWeb"/>
        <w:spacing w:before="0" w:beforeAutospacing="0" w:after="0" w:afterAutospacing="0" w:line="276" w:lineRule="auto"/>
        <w:ind w:firstLine="708"/>
        <w:jc w:val="both"/>
        <w:rPr>
          <w:color w:val="000000"/>
          <w:sz w:val="20"/>
          <w:szCs w:val="20"/>
        </w:rPr>
      </w:pPr>
    </w:p>
    <w:p w:rsidR="001B1B68" w:rsidRPr="007366EE" w:rsidRDefault="001B1B68" w:rsidP="001B1B68">
      <w:pPr>
        <w:tabs>
          <w:tab w:val="left" w:pos="709"/>
        </w:tabs>
        <w:spacing w:after="0"/>
        <w:jc w:val="both"/>
        <w:rPr>
          <w:rFonts w:eastAsia="MS Mincho"/>
          <w:color w:val="000000"/>
          <w:sz w:val="20"/>
          <w:szCs w:val="20"/>
        </w:rPr>
      </w:pPr>
      <w:r w:rsidRPr="007366EE">
        <w:rPr>
          <w:rFonts w:eastAsia="MS Mincho"/>
          <w:color w:val="000000"/>
          <w:sz w:val="20"/>
          <w:szCs w:val="20"/>
        </w:rPr>
        <w:t xml:space="preserve">Wholesale licensee may purchase natural gas from production companies, import companies and wholesale companies. Wholesale licensees may sell natural gas to export companies, eligible consumers, CNG sales companies, import companies, distribution companies and wholesale companies throughout the country. Those wholesale companies which have presented preliminary contracts or commitments, at license application, showing that the applicant shall provide for storage capacity within Turkey, shall submit lease contracts concluded with storage companies holding licenses in order to fulfill this obligation. If, however, he sells natural gas to distribution companies, the licensee shall be granted a five year period from the effective date of the license in order to provide the required storage capacity. Where the capacity of storage facilities does not reach the necessary level in Turkey, such period may be extended for up to two years by the Board’s decision. Although provision of storage capacity within five year from the date of the license is compulsory in respect of natural gas to be sold to eligible consumers, this period may be extended for a period designated by the Board in case the storage facilities throughout the country do not reach a sufficient level. </w:t>
      </w:r>
    </w:p>
    <w:p w:rsidR="001B1B68" w:rsidRPr="007366EE" w:rsidRDefault="001B1B68" w:rsidP="001B1B68">
      <w:pPr>
        <w:tabs>
          <w:tab w:val="left" w:pos="709"/>
        </w:tabs>
        <w:spacing w:after="0"/>
        <w:jc w:val="both"/>
        <w:rPr>
          <w:rFonts w:eastAsia="MS Mincho"/>
          <w:color w:val="000000"/>
          <w:sz w:val="20"/>
          <w:szCs w:val="20"/>
        </w:rPr>
      </w:pPr>
    </w:p>
    <w:p w:rsidR="001B1B68" w:rsidRPr="0017633D" w:rsidRDefault="001B1B68" w:rsidP="001B1B68">
      <w:pPr>
        <w:pStyle w:val="NormalWeb"/>
        <w:spacing w:before="0" w:beforeAutospacing="0" w:after="0" w:afterAutospacing="0" w:line="276" w:lineRule="auto"/>
        <w:jc w:val="both"/>
        <w:rPr>
          <w:rFonts w:asciiTheme="minorHAnsi" w:eastAsia="MS Mincho" w:hAnsiTheme="minorHAnsi"/>
          <w:sz w:val="20"/>
          <w:szCs w:val="20"/>
        </w:rPr>
      </w:pPr>
      <w:r w:rsidRPr="0017633D">
        <w:rPr>
          <w:rFonts w:asciiTheme="minorHAnsi" w:eastAsia="MS Mincho" w:hAnsiTheme="minorHAnsi"/>
          <w:color w:val="000000"/>
          <w:sz w:val="20"/>
          <w:szCs w:val="20"/>
        </w:rPr>
        <w:t>The companies, which will be entitled to receive in-city natural gas distribution licenses, shall be selected through tenders to be conducted by EMRA. Between 2003 and 2006, with the exception of few cities, our Authority held in-city natural gas distribution license tenders for all of the cities in Turkey. A distribution license shall be granted to the company entitled to receive the license upon completion of the procedures defined in the relevant regulations and the tender file.</w:t>
      </w:r>
    </w:p>
    <w:p w:rsidR="001B1B68" w:rsidRPr="0017633D" w:rsidRDefault="001B1B68" w:rsidP="001B1B68">
      <w:pPr>
        <w:pStyle w:val="NormalWeb"/>
        <w:spacing w:before="0" w:beforeAutospacing="0" w:after="0" w:afterAutospacing="0" w:line="276" w:lineRule="auto"/>
        <w:ind w:firstLine="708"/>
        <w:jc w:val="both"/>
        <w:rPr>
          <w:rFonts w:asciiTheme="minorHAnsi" w:eastAsia="MS Mincho" w:hAnsiTheme="minorHAnsi"/>
          <w:sz w:val="20"/>
          <w:szCs w:val="20"/>
        </w:rPr>
      </w:pPr>
    </w:p>
    <w:p w:rsidR="001B1B68" w:rsidRPr="0017633D" w:rsidRDefault="001B1B68" w:rsidP="001B1B68">
      <w:pPr>
        <w:tabs>
          <w:tab w:val="left" w:pos="709"/>
        </w:tabs>
        <w:spacing w:after="0"/>
        <w:jc w:val="both"/>
        <w:rPr>
          <w:rFonts w:asciiTheme="minorHAnsi" w:eastAsia="MS Mincho" w:hAnsiTheme="minorHAnsi"/>
          <w:sz w:val="20"/>
          <w:szCs w:val="20"/>
        </w:rPr>
      </w:pPr>
      <w:r w:rsidRPr="0017633D">
        <w:rPr>
          <w:rFonts w:asciiTheme="minorHAnsi" w:hAnsiTheme="minorHAnsi"/>
          <w:sz w:val="20"/>
          <w:szCs w:val="20"/>
        </w:rPr>
        <w:t xml:space="preserve">The companies holding compressed natural gas (CNG) licenses based on the content of their respective licenses perform the activity of CNG sale which is defined as the purchase of natural gas at </w:t>
      </w:r>
      <w:r w:rsidRPr="0017633D">
        <w:rPr>
          <w:rFonts w:asciiTheme="minorHAnsi" w:eastAsia="MS Mincho" w:hAnsiTheme="minorHAnsi"/>
          <w:sz w:val="20"/>
          <w:szCs w:val="20"/>
        </w:rPr>
        <w:t>wellhead, from national transmission network or in-city distribution system</w:t>
      </w:r>
      <w:r w:rsidRPr="0017633D">
        <w:rPr>
          <w:rFonts w:asciiTheme="minorHAnsi" w:hAnsiTheme="minorHAnsi"/>
          <w:sz w:val="20"/>
          <w:szCs w:val="20"/>
        </w:rPr>
        <w:t xml:space="preserve">, from suppliers </w:t>
      </w:r>
      <w:proofErr w:type="spellStart"/>
      <w:r w:rsidRPr="0017633D">
        <w:rPr>
          <w:rFonts w:asciiTheme="minorHAnsi" w:hAnsiTheme="minorHAnsi"/>
          <w:sz w:val="20"/>
          <w:szCs w:val="20"/>
        </w:rPr>
        <w:t>an</w:t>
      </w:r>
      <w:proofErr w:type="spellEnd"/>
      <w:r w:rsidRPr="0017633D">
        <w:rPr>
          <w:rFonts w:asciiTheme="minorHAnsi" w:hAnsiTheme="minorHAnsi"/>
          <w:sz w:val="20"/>
          <w:szCs w:val="20"/>
        </w:rPr>
        <w:t xml:space="preserve">/or distribution companies; they perform the activity of transmission and distribution </w:t>
      </w:r>
      <w:r w:rsidRPr="0017633D">
        <w:rPr>
          <w:rFonts w:asciiTheme="minorHAnsi" w:eastAsia="MS Mincho" w:hAnsiTheme="minorHAnsi"/>
          <w:sz w:val="20"/>
          <w:szCs w:val="20"/>
        </w:rPr>
        <w:t>defined as compression, filling in pressurized containers and sale, and transport of compressed natural gas (CNG) by means of special vehicles between cities, sale of  natural gas obtained from CNG sale stations by reducing its pressure at places where the transmission network does not reach.</w:t>
      </w:r>
    </w:p>
    <w:p w:rsidR="001B1B68" w:rsidRPr="0017633D" w:rsidRDefault="001B1B68" w:rsidP="001B1B68">
      <w:pPr>
        <w:tabs>
          <w:tab w:val="left" w:pos="709"/>
        </w:tabs>
        <w:spacing w:after="0"/>
        <w:jc w:val="both"/>
        <w:rPr>
          <w:rFonts w:asciiTheme="minorHAnsi" w:hAnsiTheme="minorHAnsi"/>
          <w:color w:val="FF0000"/>
          <w:sz w:val="20"/>
          <w:szCs w:val="20"/>
        </w:rPr>
      </w:pPr>
    </w:p>
    <w:p w:rsidR="001B1B68" w:rsidRPr="0017633D" w:rsidRDefault="001B1B68" w:rsidP="001B1B68">
      <w:pPr>
        <w:tabs>
          <w:tab w:val="left" w:pos="709"/>
        </w:tabs>
        <w:spacing w:after="0"/>
        <w:jc w:val="both"/>
        <w:rPr>
          <w:rFonts w:asciiTheme="minorHAnsi" w:hAnsiTheme="minorHAnsi"/>
          <w:b/>
          <w:bCs/>
          <w:sz w:val="20"/>
          <w:szCs w:val="20"/>
        </w:rPr>
      </w:pPr>
      <w:r w:rsidRPr="0017633D">
        <w:rPr>
          <w:rFonts w:asciiTheme="minorHAnsi" w:eastAsia="MS Mincho" w:hAnsiTheme="minorHAnsi"/>
          <w:color w:val="000000"/>
          <w:sz w:val="20"/>
          <w:szCs w:val="20"/>
        </w:rPr>
        <w:t>Export companies may purchase natural gas from production companies, wholesale companies or import companies.</w:t>
      </w:r>
    </w:p>
    <w:p w:rsidR="001B1B68" w:rsidRPr="0017633D" w:rsidRDefault="001B1B68" w:rsidP="001B1B68">
      <w:pPr>
        <w:spacing w:after="0"/>
        <w:jc w:val="both"/>
        <w:rPr>
          <w:rFonts w:asciiTheme="minorHAnsi" w:hAnsiTheme="minorHAnsi"/>
          <w:b/>
          <w:bCs/>
          <w:sz w:val="20"/>
          <w:szCs w:val="20"/>
        </w:rPr>
      </w:pPr>
    </w:p>
    <w:p w:rsidR="001B1B68" w:rsidRPr="0017633D" w:rsidRDefault="001B1B68" w:rsidP="001B1B68">
      <w:pPr>
        <w:spacing w:after="0"/>
        <w:jc w:val="both"/>
        <w:rPr>
          <w:rFonts w:asciiTheme="minorHAnsi" w:hAnsiTheme="minorHAnsi"/>
          <w:b/>
          <w:bCs/>
          <w:sz w:val="20"/>
          <w:szCs w:val="20"/>
        </w:rPr>
      </w:pPr>
      <w:r w:rsidRPr="0017633D">
        <w:rPr>
          <w:rFonts w:asciiTheme="minorHAnsi" w:hAnsiTheme="minorHAnsi"/>
          <w:b/>
          <w:bCs/>
          <w:sz w:val="20"/>
          <w:szCs w:val="20"/>
        </w:rPr>
        <w:t>Licensing Process</w:t>
      </w: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color w:val="000000"/>
          <w:sz w:val="20"/>
          <w:szCs w:val="20"/>
        </w:rPr>
        <w:t xml:space="preserve">In order to grant relevant licenses </w:t>
      </w:r>
      <w:proofErr w:type="gramStart"/>
      <w:r w:rsidRPr="0017633D">
        <w:rPr>
          <w:rFonts w:asciiTheme="minorHAnsi" w:eastAsia="MS Mincho" w:hAnsiTheme="minorHAnsi"/>
          <w:color w:val="000000"/>
          <w:sz w:val="20"/>
          <w:szCs w:val="20"/>
        </w:rPr>
        <w:t>to  engage</w:t>
      </w:r>
      <w:proofErr w:type="gramEnd"/>
      <w:r w:rsidRPr="0017633D">
        <w:rPr>
          <w:rFonts w:asciiTheme="minorHAnsi" w:eastAsia="MS Mincho" w:hAnsiTheme="minorHAnsi"/>
          <w:color w:val="000000"/>
          <w:sz w:val="20"/>
          <w:szCs w:val="20"/>
        </w:rPr>
        <w:t xml:space="preserve"> in market activities, the legal entities shall file applications with the Authority by submitting the necessary information, documents and commitments.  In order to commence the review and evaluation regarding applications that are deemed to be filed in accordance with the principles pertaining to license applications, the applicants shall be notified in writing to deposit one percent of the licensing fee into the account of the Authority within ten days following the date of notification. The license applications of the legal entities to engage in natural gas market activities, to the Authority shall be responded by the Authority within sixty days following the commencement of the review and evaluation process. The results of the review and evaluation process, carried out by the Authority, shall be submitted to the Board and the license application shall be finalized by a Board decision. In cases where a license application is rejected by a Board decision, the justifications for such rejection shall be notified in writing to the related applicant within ten working days following the Board decision. The legal entity that is deemed eligible for obtaining a license, by a Board decision, as a result of the review and evaluation process, shall be notified in writing that the relevant license shall be issued upon fulfillment of the relevant obligations within ninety days. Legal entity, which fulfills its obligations, shall be granted the relevant license as per the aforesaid Board decision. The commercial title of the licensee and the type of the license acquired shall be published in the Official Gazette and announced in the Authority’s website. With exceptional cases where force majeure conditions exist, any license application shall be rejected by a Board decision upon failure to fulfill these obligations within the specified period.</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eastAsia="MS Mincho" w:hAnsiTheme="minorHAnsi"/>
          <w:color w:val="FF0000"/>
          <w:sz w:val="20"/>
          <w:szCs w:val="20"/>
        </w:rPr>
      </w:pPr>
      <w:r w:rsidRPr="0017633D">
        <w:rPr>
          <w:rFonts w:asciiTheme="minorHAnsi" w:hAnsiTheme="minorHAnsi"/>
          <w:sz w:val="20"/>
          <w:szCs w:val="20"/>
        </w:rPr>
        <w:lastRenderedPageBreak/>
        <w:t>The applications regarding imports from the countries other than those with which contracts have already been executed by BOTAS, are evaluated within the framework of the procedures and principles determined by the Board Decision numbered 725 and dated 13/04/2006.</w:t>
      </w:r>
    </w:p>
    <w:p w:rsidR="001B1B68" w:rsidRPr="0017633D" w:rsidRDefault="001B1B68" w:rsidP="001B1B68">
      <w:pPr>
        <w:tabs>
          <w:tab w:val="left" w:pos="709"/>
        </w:tabs>
        <w:spacing w:after="0"/>
        <w:jc w:val="both"/>
        <w:rPr>
          <w:rFonts w:asciiTheme="minorHAnsi" w:eastAsia="MS Mincho" w:hAnsiTheme="minorHAnsi"/>
          <w:sz w:val="20"/>
          <w:szCs w:val="20"/>
        </w:rPr>
      </w:pPr>
    </w:p>
    <w:p w:rsidR="001B1B68" w:rsidRPr="0017633D" w:rsidRDefault="001B1B68" w:rsidP="001B1B68">
      <w:pPr>
        <w:tabs>
          <w:tab w:val="left" w:pos="709"/>
        </w:tabs>
        <w:spacing w:after="0"/>
        <w:jc w:val="both"/>
        <w:rPr>
          <w:rFonts w:asciiTheme="minorHAnsi" w:eastAsia="MS Mincho" w:hAnsiTheme="minorHAnsi"/>
          <w:color w:val="FF0000"/>
          <w:sz w:val="20"/>
          <w:szCs w:val="20"/>
        </w:rPr>
      </w:pPr>
      <w:r w:rsidRPr="0017633D">
        <w:rPr>
          <w:rFonts w:asciiTheme="minorHAnsi" w:eastAsia="MS Mincho" w:hAnsiTheme="minorHAnsi"/>
          <w:sz w:val="20"/>
          <w:szCs w:val="20"/>
        </w:rPr>
        <w:t xml:space="preserve">For all the license types, except for the distribution license, the period of the licensing process, excluding the time necessary for the fulfillment of the obligations by the company applying for the license, is approximately three months. </w:t>
      </w:r>
    </w:p>
    <w:p w:rsidR="001B1B68" w:rsidRPr="0017633D" w:rsidRDefault="001B1B68" w:rsidP="001B1B68">
      <w:pPr>
        <w:tabs>
          <w:tab w:val="left" w:pos="709"/>
        </w:tabs>
        <w:spacing w:after="0"/>
        <w:jc w:val="both"/>
        <w:rPr>
          <w:rFonts w:asciiTheme="minorHAnsi" w:eastAsia="MS Mincho" w:hAnsiTheme="minorHAnsi"/>
          <w:color w:val="FF0000"/>
          <w:sz w:val="20"/>
          <w:szCs w:val="20"/>
        </w:rPr>
      </w:pPr>
    </w:p>
    <w:p w:rsidR="001B1B68" w:rsidRPr="0017633D" w:rsidRDefault="001B1B68" w:rsidP="001B1B68">
      <w:pPr>
        <w:spacing w:after="0"/>
        <w:ind w:right="23"/>
        <w:jc w:val="both"/>
        <w:rPr>
          <w:rFonts w:asciiTheme="minorHAnsi" w:hAnsiTheme="minorHAnsi"/>
          <w:b/>
          <w:sz w:val="20"/>
          <w:szCs w:val="20"/>
        </w:rPr>
      </w:pPr>
      <w:r w:rsidRPr="0017633D">
        <w:rPr>
          <w:rFonts w:asciiTheme="minorHAnsi" w:hAnsiTheme="minorHAnsi"/>
          <w:b/>
          <w:sz w:val="20"/>
          <w:szCs w:val="20"/>
        </w:rPr>
        <w:t xml:space="preserve">License Fees  </w:t>
      </w:r>
    </w:p>
    <w:p w:rsidR="001B1B68" w:rsidRPr="0017633D" w:rsidRDefault="001B1B68" w:rsidP="001B1B68">
      <w:pPr>
        <w:tabs>
          <w:tab w:val="left" w:pos="540"/>
          <w:tab w:val="left" w:pos="720"/>
          <w:tab w:val="left" w:pos="900"/>
          <w:tab w:val="left" w:pos="1080"/>
        </w:tabs>
        <w:spacing w:after="0"/>
        <w:jc w:val="both"/>
        <w:rPr>
          <w:rFonts w:asciiTheme="minorHAnsi" w:hAnsiTheme="minorHAnsi"/>
          <w:sz w:val="20"/>
          <w:szCs w:val="20"/>
        </w:rPr>
      </w:pPr>
      <w:r w:rsidRPr="0017633D">
        <w:rPr>
          <w:rFonts w:asciiTheme="minorHAnsi" w:hAnsiTheme="minorHAnsi"/>
          <w:sz w:val="20"/>
          <w:szCs w:val="20"/>
        </w:rPr>
        <w:t xml:space="preserve">The license fee, annual license fee, renewal of the license fee, modification of the license fee and copy of the license fee that will be applied in the year 2007 are as </w:t>
      </w:r>
      <w:proofErr w:type="spellStart"/>
      <w:r w:rsidRPr="0017633D">
        <w:rPr>
          <w:rFonts w:asciiTheme="minorHAnsi" w:hAnsiTheme="minorHAnsi"/>
          <w:sz w:val="20"/>
          <w:szCs w:val="20"/>
        </w:rPr>
        <w:t>folows</w:t>
      </w:r>
      <w:proofErr w:type="spellEnd"/>
      <w:r w:rsidRPr="0017633D">
        <w:rPr>
          <w:rFonts w:asciiTheme="minorHAnsi" w:hAnsiTheme="minorHAnsi"/>
          <w:sz w:val="20"/>
          <w:szCs w:val="20"/>
        </w:rPr>
        <w:t>:</w:t>
      </w:r>
    </w:p>
    <w:p w:rsidR="001B1B68" w:rsidRPr="0017633D" w:rsidRDefault="001B1B68" w:rsidP="001B1B68">
      <w:pPr>
        <w:tabs>
          <w:tab w:val="left" w:pos="540"/>
          <w:tab w:val="left" w:pos="720"/>
          <w:tab w:val="left" w:pos="900"/>
          <w:tab w:val="left" w:pos="1080"/>
        </w:tabs>
        <w:spacing w:after="0"/>
        <w:jc w:val="both"/>
        <w:rPr>
          <w:rFonts w:asciiTheme="minorHAnsi" w:hAnsiTheme="minorHAnsi"/>
          <w:b/>
          <w:sz w:val="20"/>
          <w:szCs w:val="20"/>
        </w:rPr>
      </w:pPr>
      <w:r w:rsidRPr="0017633D">
        <w:rPr>
          <w:rFonts w:asciiTheme="minorHAnsi" w:hAnsiTheme="minorHAnsi"/>
          <w:b/>
          <w:sz w:val="20"/>
          <w:szCs w:val="20"/>
        </w:rPr>
        <w:t xml:space="preserve"> </w:t>
      </w:r>
    </w:p>
    <w:p w:rsidR="001B1B68" w:rsidRPr="0017633D" w:rsidRDefault="001B1B68" w:rsidP="001B1B68">
      <w:pPr>
        <w:tabs>
          <w:tab w:val="left" w:pos="4320"/>
        </w:tabs>
        <w:spacing w:after="0"/>
        <w:jc w:val="both"/>
        <w:rPr>
          <w:rFonts w:asciiTheme="minorHAnsi" w:hAnsiTheme="minorHAnsi"/>
          <w:sz w:val="20"/>
          <w:szCs w:val="20"/>
          <w:u w:val="single"/>
        </w:rPr>
      </w:pPr>
      <w:r w:rsidRPr="0017633D">
        <w:rPr>
          <w:rFonts w:asciiTheme="minorHAnsi" w:hAnsiTheme="minorHAnsi"/>
          <w:sz w:val="20"/>
          <w:szCs w:val="20"/>
          <w:u w:val="single"/>
        </w:rPr>
        <w:t>a) Import Activity:</w:t>
      </w:r>
    </w:p>
    <w:p w:rsidR="001B1B68" w:rsidRPr="0017633D" w:rsidRDefault="001B1B68" w:rsidP="001B1B68">
      <w:pPr>
        <w:tabs>
          <w:tab w:val="left" w:pos="4320"/>
        </w:tabs>
        <w:spacing w:after="0"/>
        <w:jc w:val="both"/>
        <w:rPr>
          <w:rFonts w:asciiTheme="minorHAnsi" w:hAnsiTheme="minorHAnsi"/>
          <w:sz w:val="20"/>
          <w:szCs w:val="20"/>
        </w:rPr>
      </w:pPr>
      <w:r w:rsidRPr="0017633D">
        <w:rPr>
          <w:rFonts w:asciiTheme="minorHAnsi" w:hAnsiTheme="minorHAnsi"/>
          <w:sz w:val="20"/>
          <w:szCs w:val="20"/>
        </w:rPr>
        <w:t>-License fee:  75.000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xml:space="preserve">-Annual license fee:  </w:t>
      </w:r>
      <w:r w:rsidRPr="0017633D">
        <w:rPr>
          <w:rFonts w:asciiTheme="minorHAnsi" w:hAnsiTheme="minorHAnsi"/>
          <w:sz w:val="20"/>
          <w:szCs w:val="20"/>
        </w:rPr>
        <w:tab/>
        <w:t xml:space="preserv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sold.</w:t>
      </w:r>
    </w:p>
    <w:p w:rsidR="001B1B68" w:rsidRPr="0017633D" w:rsidRDefault="001B1B68" w:rsidP="001B1B68">
      <w:pPr>
        <w:spacing w:after="0"/>
        <w:jc w:val="both"/>
        <w:rPr>
          <w:rFonts w:asciiTheme="minorHAnsi" w:hAnsiTheme="minorHAnsi"/>
          <w:sz w:val="20"/>
          <w:szCs w:val="20"/>
        </w:rPr>
      </w:pPr>
    </w:p>
    <w:p w:rsidR="001B1B68" w:rsidRPr="0017633D" w:rsidRDefault="001B1B68" w:rsidP="001B1B68">
      <w:pPr>
        <w:spacing w:after="0"/>
        <w:ind w:firstLine="360"/>
        <w:jc w:val="both"/>
        <w:rPr>
          <w:rFonts w:asciiTheme="minorHAnsi" w:hAnsiTheme="minorHAnsi"/>
          <w:sz w:val="20"/>
          <w:szCs w:val="20"/>
        </w:rPr>
      </w:pPr>
      <w:r w:rsidRPr="0017633D">
        <w:rPr>
          <w:rFonts w:asciiTheme="minorHAnsi" w:hAnsiTheme="minorHAnsi"/>
          <w:sz w:val="20"/>
          <w:szCs w:val="20"/>
        </w:rPr>
        <w:t>Legal entity that holds more than one import license shall pay annual license fee according to its total sale with respect to all its import licenses.</w:t>
      </w:r>
    </w:p>
    <w:p w:rsidR="001B1B68" w:rsidRPr="0017633D" w:rsidRDefault="001B1B68" w:rsidP="001B1B68">
      <w:pPr>
        <w:spacing w:after="0"/>
        <w:jc w:val="both"/>
        <w:rPr>
          <w:rFonts w:asciiTheme="minorHAnsi" w:hAnsiTheme="minorHAnsi"/>
          <w:sz w:val="20"/>
          <w:szCs w:val="20"/>
        </w:rPr>
      </w:pPr>
    </w:p>
    <w:p w:rsidR="001B1B68" w:rsidRPr="0017633D" w:rsidRDefault="001B1B68" w:rsidP="001B1B68">
      <w:pPr>
        <w:spacing w:after="0"/>
        <w:jc w:val="both"/>
        <w:rPr>
          <w:rFonts w:asciiTheme="minorHAnsi" w:hAnsiTheme="minorHAnsi"/>
          <w:sz w:val="20"/>
          <w:szCs w:val="20"/>
        </w:rPr>
      </w:pPr>
      <w:proofErr w:type="gramStart"/>
      <w:r w:rsidRPr="0017633D">
        <w:rPr>
          <w:rFonts w:asciiTheme="minorHAnsi" w:hAnsiTheme="minorHAnsi"/>
          <w:sz w:val="20"/>
          <w:szCs w:val="20"/>
          <w:u w:val="single"/>
        </w:rPr>
        <w:t>b)</w:t>
      </w:r>
      <w:proofErr w:type="gramEnd"/>
      <w:r w:rsidRPr="0017633D">
        <w:rPr>
          <w:rFonts w:asciiTheme="minorHAnsi" w:hAnsiTheme="minorHAnsi"/>
          <w:sz w:val="20"/>
          <w:szCs w:val="20"/>
          <w:u w:val="single"/>
        </w:rPr>
        <w:t>Transmission Activity</w:t>
      </w:r>
      <w:r w:rsidRPr="0017633D">
        <w:rPr>
          <w:rFonts w:asciiTheme="minorHAnsi" w:hAnsiTheme="minorHAnsi"/>
          <w:sz w:val="20"/>
          <w:szCs w:val="20"/>
        </w:rPr>
        <w:t>:</w:t>
      </w:r>
      <w:r w:rsidRPr="0017633D">
        <w:rPr>
          <w:rFonts w:asciiTheme="minorHAnsi" w:hAnsiTheme="minorHAnsi"/>
          <w:sz w:val="20"/>
          <w:szCs w:val="20"/>
        </w:rPr>
        <w:tab/>
      </w:r>
      <w:r w:rsidRPr="0017633D">
        <w:rPr>
          <w:rFonts w:asciiTheme="minorHAnsi" w:hAnsiTheme="minorHAnsi"/>
          <w:sz w:val="20"/>
          <w:szCs w:val="20"/>
        </w:rPr>
        <w:tab/>
      </w:r>
      <w:r w:rsidRPr="0017633D">
        <w:rPr>
          <w:rFonts w:asciiTheme="minorHAnsi" w:hAnsiTheme="minorHAnsi"/>
          <w:sz w:val="20"/>
          <w:szCs w:val="20"/>
        </w:rPr>
        <w:tab/>
      </w:r>
    </w:p>
    <w:p w:rsidR="001B1B68" w:rsidRPr="0017633D" w:rsidRDefault="001B1B68" w:rsidP="001B1B68">
      <w:pPr>
        <w:spacing w:after="0"/>
        <w:ind w:left="720"/>
        <w:jc w:val="both"/>
        <w:rPr>
          <w:rFonts w:asciiTheme="minorHAnsi" w:hAnsiTheme="minorHAnsi"/>
          <w:sz w:val="20"/>
          <w:szCs w:val="20"/>
        </w:rPr>
      </w:pPr>
      <w:proofErr w:type="spellStart"/>
      <w:r w:rsidRPr="0017633D">
        <w:rPr>
          <w:rFonts w:asciiTheme="minorHAnsi" w:hAnsiTheme="minorHAnsi"/>
          <w:sz w:val="20"/>
          <w:szCs w:val="20"/>
        </w:rPr>
        <w:t>i</w:t>
      </w:r>
      <w:proofErr w:type="spellEnd"/>
      <w:r w:rsidRPr="0017633D">
        <w:rPr>
          <w:rFonts w:asciiTheme="minorHAnsi" w:hAnsiTheme="minorHAnsi"/>
          <w:sz w:val="20"/>
          <w:szCs w:val="20"/>
        </w:rPr>
        <w:t>) Transmission</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-License fee:  750.000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transmitted.                                                   </w:t>
      </w:r>
    </w:p>
    <w:p w:rsidR="001B1B68" w:rsidRPr="0017633D" w:rsidRDefault="001B1B68" w:rsidP="001B1B68">
      <w:pPr>
        <w:tabs>
          <w:tab w:val="left" w:pos="720"/>
        </w:tabs>
        <w:spacing w:after="0"/>
        <w:jc w:val="both"/>
        <w:rPr>
          <w:rFonts w:asciiTheme="minorHAnsi" w:hAnsiTheme="minorHAnsi"/>
          <w:sz w:val="20"/>
          <w:szCs w:val="20"/>
        </w:rPr>
      </w:pPr>
      <w:r w:rsidRPr="0017633D">
        <w:rPr>
          <w:rFonts w:asciiTheme="minorHAnsi" w:hAnsiTheme="minorHAnsi"/>
          <w:sz w:val="20"/>
          <w:szCs w:val="20"/>
        </w:rPr>
        <w:t xml:space="preserve">            ii) Liquefied Natural Gas (LNG) Transmission:</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xml:space="preserve">-License fee:  </w:t>
      </w:r>
      <w:r w:rsidRPr="0017633D">
        <w:rPr>
          <w:rFonts w:asciiTheme="minorHAnsi" w:hAnsiTheme="minorHAnsi"/>
          <w:sz w:val="20"/>
          <w:szCs w:val="20"/>
        </w:rPr>
        <w:tab/>
        <w:t>37.500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transmitted.</w:t>
      </w:r>
    </w:p>
    <w:p w:rsidR="001B1B68" w:rsidRPr="0017633D" w:rsidRDefault="001B1B68" w:rsidP="001B1B68">
      <w:pPr>
        <w:spacing w:after="0"/>
        <w:ind w:left="1080"/>
        <w:jc w:val="both"/>
        <w:rPr>
          <w:rFonts w:asciiTheme="minorHAnsi" w:hAnsiTheme="minorHAnsi"/>
          <w:sz w:val="20"/>
          <w:szCs w:val="20"/>
        </w:rPr>
      </w:pPr>
      <w:r w:rsidRPr="0017633D">
        <w:rPr>
          <w:rFonts w:asciiTheme="minorHAnsi" w:hAnsiTheme="minorHAnsi"/>
          <w:sz w:val="20"/>
          <w:szCs w:val="20"/>
        </w:rPr>
        <w:t xml:space="preserve">                                                      </w:t>
      </w:r>
    </w:p>
    <w:p w:rsidR="001B1B68" w:rsidRPr="0017633D" w:rsidRDefault="001B1B68" w:rsidP="001B1B68">
      <w:pPr>
        <w:spacing w:after="0"/>
        <w:jc w:val="both"/>
        <w:rPr>
          <w:rFonts w:asciiTheme="minorHAnsi" w:hAnsiTheme="minorHAnsi"/>
          <w:sz w:val="20"/>
          <w:szCs w:val="20"/>
          <w:u w:val="single"/>
        </w:rPr>
      </w:pPr>
      <w:r w:rsidRPr="0017633D">
        <w:rPr>
          <w:rFonts w:asciiTheme="minorHAnsi" w:hAnsiTheme="minorHAnsi"/>
          <w:sz w:val="20"/>
          <w:szCs w:val="20"/>
          <w:u w:val="single"/>
        </w:rPr>
        <w:t>c) Storage Activity:</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-License fee:  150.000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stored.</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xml:space="preserve">                                                                         </w:t>
      </w:r>
    </w:p>
    <w:p w:rsidR="001B1B68" w:rsidRPr="0017633D" w:rsidRDefault="001B1B68" w:rsidP="001B1B68">
      <w:pPr>
        <w:spacing w:after="0"/>
        <w:jc w:val="both"/>
        <w:rPr>
          <w:rFonts w:asciiTheme="minorHAnsi" w:hAnsiTheme="minorHAnsi"/>
          <w:sz w:val="20"/>
          <w:szCs w:val="20"/>
          <w:u w:val="single"/>
        </w:rPr>
      </w:pPr>
      <w:r w:rsidRPr="0017633D">
        <w:rPr>
          <w:rFonts w:asciiTheme="minorHAnsi" w:hAnsiTheme="minorHAnsi"/>
          <w:sz w:val="20"/>
          <w:szCs w:val="20"/>
          <w:u w:val="single"/>
        </w:rPr>
        <w:t>d) Wholesale Activity:</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-License fee:  50.000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sold.</w:t>
      </w:r>
    </w:p>
    <w:p w:rsidR="001B1B68" w:rsidRPr="0017633D" w:rsidRDefault="001B1B68" w:rsidP="001B1B68">
      <w:pPr>
        <w:spacing w:after="0"/>
        <w:ind w:left="1080"/>
        <w:jc w:val="both"/>
        <w:rPr>
          <w:rFonts w:asciiTheme="minorHAnsi" w:hAnsiTheme="minorHAnsi"/>
          <w:sz w:val="20"/>
          <w:szCs w:val="20"/>
        </w:rPr>
      </w:pPr>
    </w:p>
    <w:p w:rsidR="001B1B68" w:rsidRPr="0017633D" w:rsidRDefault="001B1B68" w:rsidP="001B1B68">
      <w:pPr>
        <w:spacing w:after="0"/>
        <w:jc w:val="both"/>
        <w:rPr>
          <w:rFonts w:asciiTheme="minorHAnsi" w:hAnsiTheme="minorHAnsi"/>
          <w:sz w:val="20"/>
          <w:szCs w:val="20"/>
          <w:u w:val="single"/>
        </w:rPr>
      </w:pPr>
      <w:r w:rsidRPr="0017633D">
        <w:rPr>
          <w:rFonts w:asciiTheme="minorHAnsi" w:hAnsiTheme="minorHAnsi"/>
          <w:sz w:val="20"/>
          <w:szCs w:val="20"/>
          <w:u w:val="single"/>
        </w:rPr>
        <w:t>e) Distribution Activity:</w:t>
      </w:r>
    </w:p>
    <w:p w:rsidR="001B1B68" w:rsidRPr="0017633D" w:rsidRDefault="001B1B68" w:rsidP="001B1B68">
      <w:pPr>
        <w:tabs>
          <w:tab w:val="left" w:pos="3600"/>
          <w:tab w:val="left" w:pos="3780"/>
          <w:tab w:val="left" w:pos="3960"/>
        </w:tabs>
        <w:spacing w:after="0"/>
        <w:jc w:val="both"/>
        <w:rPr>
          <w:rFonts w:asciiTheme="minorHAnsi" w:hAnsiTheme="minorHAnsi"/>
          <w:sz w:val="20"/>
          <w:szCs w:val="20"/>
        </w:rPr>
      </w:pPr>
      <w:r w:rsidRPr="0017633D">
        <w:rPr>
          <w:rFonts w:asciiTheme="minorHAnsi" w:hAnsiTheme="minorHAnsi"/>
          <w:sz w:val="20"/>
          <w:szCs w:val="20"/>
        </w:rPr>
        <w:t>- -License fee:  50.000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sold.</w:t>
      </w:r>
    </w:p>
    <w:p w:rsidR="001B1B68" w:rsidRPr="0017633D" w:rsidRDefault="001B1B68" w:rsidP="001B1B68">
      <w:pPr>
        <w:tabs>
          <w:tab w:val="left" w:pos="4320"/>
          <w:tab w:val="left" w:pos="4500"/>
        </w:tabs>
        <w:spacing w:after="0"/>
        <w:ind w:left="1080"/>
        <w:jc w:val="both"/>
        <w:rPr>
          <w:rFonts w:asciiTheme="minorHAnsi" w:hAnsiTheme="minorHAnsi"/>
          <w:sz w:val="20"/>
          <w:szCs w:val="20"/>
        </w:rPr>
      </w:pPr>
    </w:p>
    <w:p w:rsidR="001B1B68" w:rsidRPr="0017633D" w:rsidRDefault="001B1B68" w:rsidP="001B1B68">
      <w:pPr>
        <w:spacing w:after="0"/>
        <w:jc w:val="both"/>
        <w:rPr>
          <w:rFonts w:asciiTheme="minorHAnsi" w:hAnsiTheme="minorHAnsi"/>
          <w:sz w:val="20"/>
          <w:szCs w:val="20"/>
          <w:u w:val="single"/>
        </w:rPr>
      </w:pPr>
      <w:r w:rsidRPr="0017633D">
        <w:rPr>
          <w:rFonts w:asciiTheme="minorHAnsi" w:hAnsiTheme="minorHAnsi"/>
          <w:sz w:val="20"/>
          <w:szCs w:val="20"/>
          <w:u w:val="single"/>
        </w:rPr>
        <w:t>f) Compressed Natural Gas (CNG) distribution, transmission and sale:</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xml:space="preserve">            </w:t>
      </w:r>
      <w:proofErr w:type="spellStart"/>
      <w:r w:rsidRPr="0017633D">
        <w:rPr>
          <w:rFonts w:asciiTheme="minorHAnsi" w:hAnsiTheme="minorHAnsi"/>
          <w:sz w:val="20"/>
          <w:szCs w:val="20"/>
        </w:rPr>
        <w:t>i</w:t>
      </w:r>
      <w:proofErr w:type="spellEnd"/>
      <w:r w:rsidRPr="0017633D">
        <w:rPr>
          <w:rFonts w:asciiTheme="minorHAnsi" w:hAnsiTheme="minorHAnsi"/>
          <w:sz w:val="20"/>
          <w:szCs w:val="20"/>
        </w:rPr>
        <w:t>) Compressed Natural Gas (CNG) transmission and distribution:</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-License fee:  10.000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spacing w:after="0"/>
        <w:ind w:left="2832" w:hanging="2832"/>
        <w:jc w:val="both"/>
        <w:rPr>
          <w:rFonts w:asciiTheme="minorHAnsi" w:hAnsiTheme="minorHAnsi"/>
          <w:sz w:val="20"/>
          <w:szCs w:val="20"/>
        </w:rPr>
      </w:pPr>
      <w:r w:rsidRPr="0017633D">
        <w:rPr>
          <w:rFonts w:asciiTheme="minorHAnsi" w:hAnsiTheme="minorHAnsi"/>
          <w:sz w:val="20"/>
          <w:szCs w:val="20"/>
        </w:rPr>
        <w:t>- 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transmitted and distributed.</w:t>
      </w:r>
    </w:p>
    <w:p w:rsidR="001B1B68" w:rsidRPr="0017633D" w:rsidRDefault="001B1B68" w:rsidP="001B1B68">
      <w:pPr>
        <w:spacing w:after="0"/>
        <w:ind w:firstLine="708"/>
        <w:jc w:val="both"/>
        <w:rPr>
          <w:rFonts w:asciiTheme="minorHAnsi" w:hAnsiTheme="minorHAnsi"/>
          <w:sz w:val="20"/>
          <w:szCs w:val="20"/>
        </w:rPr>
      </w:pPr>
      <w:r w:rsidRPr="0017633D">
        <w:rPr>
          <w:rFonts w:asciiTheme="minorHAnsi" w:hAnsiTheme="minorHAnsi"/>
          <w:sz w:val="20"/>
          <w:szCs w:val="20"/>
        </w:rPr>
        <w:t xml:space="preserve">ii) Compressed Natural Gas (CNG) Sale: </w:t>
      </w:r>
    </w:p>
    <w:p w:rsidR="001B1B68" w:rsidRPr="0017633D" w:rsidRDefault="001B1B68" w:rsidP="001B1B68">
      <w:pPr>
        <w:tabs>
          <w:tab w:val="left" w:pos="3780"/>
        </w:tabs>
        <w:spacing w:after="0"/>
        <w:jc w:val="both"/>
        <w:rPr>
          <w:rFonts w:asciiTheme="minorHAnsi" w:hAnsiTheme="minorHAnsi"/>
          <w:sz w:val="20"/>
          <w:szCs w:val="20"/>
        </w:rPr>
      </w:pPr>
      <w:r w:rsidRPr="0017633D">
        <w:rPr>
          <w:rFonts w:asciiTheme="minorHAnsi" w:hAnsiTheme="minorHAnsi"/>
          <w:sz w:val="20"/>
          <w:szCs w:val="20"/>
        </w:rPr>
        <w:t>- -License fee: 10.000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tabs>
          <w:tab w:val="left" w:pos="3780"/>
        </w:tabs>
        <w:spacing w:after="0"/>
        <w:jc w:val="both"/>
        <w:rPr>
          <w:rFonts w:asciiTheme="minorHAnsi" w:hAnsiTheme="minorHAnsi"/>
          <w:sz w:val="20"/>
          <w:szCs w:val="20"/>
        </w:rPr>
      </w:pPr>
      <w:r w:rsidRPr="0017633D">
        <w:rPr>
          <w:rFonts w:asciiTheme="minorHAnsi" w:hAnsiTheme="minorHAnsi"/>
          <w:sz w:val="20"/>
          <w:szCs w:val="20"/>
        </w:rPr>
        <w:t>- Annual license fee:  0</w:t>
      </w:r>
      <w:proofErr w:type="gramStart"/>
      <w:r w:rsidRPr="0017633D">
        <w:rPr>
          <w:rFonts w:asciiTheme="minorHAnsi" w:hAnsiTheme="minorHAnsi"/>
          <w:sz w:val="20"/>
          <w:szCs w:val="20"/>
        </w:rPr>
        <w:t>,0005</w:t>
      </w:r>
      <w:proofErr w:type="gramEnd"/>
      <w:r w:rsidRPr="0017633D">
        <w:rPr>
          <w:rFonts w:asciiTheme="minorHAnsi" w:hAnsiTheme="minorHAnsi"/>
          <w:sz w:val="20"/>
          <w:szCs w:val="20"/>
        </w:rPr>
        <w:t xml:space="preserve"> </w:t>
      </w:r>
      <w:proofErr w:type="spellStart"/>
      <w:r w:rsidRPr="0017633D">
        <w:rPr>
          <w:rFonts w:asciiTheme="minorHAnsi" w:hAnsiTheme="minorHAnsi"/>
          <w:sz w:val="20"/>
          <w:szCs w:val="20"/>
        </w:rPr>
        <w:t>YKr</w:t>
      </w:r>
      <w:proofErr w:type="spellEnd"/>
      <w:r w:rsidRPr="0017633D">
        <w:rPr>
          <w:rFonts w:asciiTheme="minorHAnsi" w:hAnsiTheme="minorHAnsi"/>
          <w:sz w:val="20"/>
          <w:szCs w:val="20"/>
        </w:rPr>
        <w:t xml:space="preserve"> for per KWH sold.</w:t>
      </w:r>
    </w:p>
    <w:p w:rsidR="001B1B68" w:rsidRPr="0017633D" w:rsidRDefault="001B1B68" w:rsidP="001B1B68">
      <w:pPr>
        <w:spacing w:after="0"/>
        <w:ind w:left="1080"/>
        <w:jc w:val="both"/>
        <w:rPr>
          <w:rFonts w:asciiTheme="minorHAnsi" w:hAnsiTheme="minorHAnsi"/>
          <w:sz w:val="20"/>
          <w:szCs w:val="20"/>
        </w:rPr>
      </w:pPr>
      <w:r w:rsidRPr="0017633D">
        <w:rPr>
          <w:rFonts w:asciiTheme="minorHAnsi" w:hAnsiTheme="minorHAnsi"/>
          <w:sz w:val="20"/>
          <w:szCs w:val="20"/>
        </w:rPr>
        <w:t xml:space="preserve">                                                 </w:t>
      </w:r>
    </w:p>
    <w:p w:rsidR="001B1B68" w:rsidRPr="0017633D" w:rsidRDefault="001B1B68" w:rsidP="001B1B68">
      <w:pPr>
        <w:spacing w:after="0"/>
        <w:jc w:val="both"/>
        <w:rPr>
          <w:rFonts w:asciiTheme="minorHAnsi" w:hAnsiTheme="minorHAnsi"/>
          <w:sz w:val="20"/>
          <w:szCs w:val="20"/>
          <w:u w:val="single"/>
        </w:rPr>
      </w:pPr>
      <w:proofErr w:type="gramStart"/>
      <w:r w:rsidRPr="0017633D">
        <w:rPr>
          <w:rFonts w:asciiTheme="minorHAnsi" w:hAnsiTheme="minorHAnsi"/>
          <w:sz w:val="20"/>
          <w:szCs w:val="20"/>
          <w:u w:val="single"/>
        </w:rPr>
        <w:t>g)</w:t>
      </w:r>
      <w:proofErr w:type="gramEnd"/>
      <w:r w:rsidRPr="0017633D">
        <w:rPr>
          <w:rFonts w:asciiTheme="minorHAnsi" w:hAnsiTheme="minorHAnsi"/>
          <w:sz w:val="20"/>
          <w:szCs w:val="20"/>
          <w:u w:val="single"/>
        </w:rPr>
        <w:t>Export Activity:</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License fee:  10.000.-YTL.</w:t>
      </w: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 xml:space="preserve">- Annual license fee: YTL for per </w:t>
      </w:r>
      <w:proofErr w:type="gramStart"/>
      <w:r w:rsidRPr="0017633D">
        <w:rPr>
          <w:rFonts w:asciiTheme="minorHAnsi" w:hAnsiTheme="minorHAnsi"/>
          <w:sz w:val="20"/>
          <w:szCs w:val="20"/>
        </w:rPr>
        <w:t>KWH  exported</w:t>
      </w:r>
      <w:proofErr w:type="gramEnd"/>
      <w:r w:rsidRPr="0017633D">
        <w:rPr>
          <w:rFonts w:asciiTheme="minorHAnsi" w:hAnsiTheme="minorHAnsi"/>
          <w:sz w:val="20"/>
          <w:szCs w:val="20"/>
        </w:rPr>
        <w:t>.</w:t>
      </w:r>
    </w:p>
    <w:p w:rsidR="001B1B68" w:rsidRPr="0017633D" w:rsidRDefault="001B1B68" w:rsidP="001B1B68">
      <w:pPr>
        <w:spacing w:after="0"/>
        <w:jc w:val="both"/>
        <w:rPr>
          <w:rFonts w:asciiTheme="minorHAnsi" w:hAnsiTheme="minorHAnsi"/>
          <w:color w:val="FF0000"/>
          <w:sz w:val="20"/>
          <w:szCs w:val="20"/>
        </w:rPr>
      </w:pP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The fees for license renewal, modification of the license and copy of the license regarding all market activities are as follows:</w:t>
      </w:r>
    </w:p>
    <w:p w:rsidR="001B1B68" w:rsidRPr="0017633D" w:rsidRDefault="001B1B68" w:rsidP="001B1B68">
      <w:pPr>
        <w:spacing w:after="0"/>
        <w:jc w:val="both"/>
        <w:rPr>
          <w:rFonts w:asciiTheme="minorHAnsi" w:hAnsiTheme="minorHAnsi"/>
          <w:color w:val="FF0000"/>
          <w:sz w:val="20"/>
          <w:szCs w:val="20"/>
        </w:rPr>
      </w:pPr>
    </w:p>
    <w:p w:rsidR="001B1B68" w:rsidRPr="0017633D" w:rsidRDefault="001B1B68" w:rsidP="001B1B68">
      <w:pPr>
        <w:numPr>
          <w:ilvl w:val="0"/>
          <w:numId w:val="8"/>
        </w:numPr>
        <w:tabs>
          <w:tab w:val="clear" w:pos="1470"/>
          <w:tab w:val="num" w:pos="900"/>
        </w:tabs>
        <w:spacing w:after="0"/>
        <w:ind w:hanging="1470"/>
        <w:jc w:val="both"/>
        <w:rPr>
          <w:rFonts w:asciiTheme="minorHAnsi" w:hAnsiTheme="minorHAnsi"/>
          <w:sz w:val="20"/>
          <w:szCs w:val="20"/>
        </w:rPr>
      </w:pPr>
      <w:r w:rsidRPr="0017633D">
        <w:rPr>
          <w:rFonts w:asciiTheme="minorHAnsi" w:hAnsiTheme="minorHAnsi"/>
          <w:sz w:val="20"/>
          <w:szCs w:val="20"/>
        </w:rPr>
        <w:t>License renewal:  50% of the license fee for the relevant activity.</w:t>
      </w:r>
    </w:p>
    <w:p w:rsidR="001B1B68" w:rsidRPr="0017633D" w:rsidRDefault="001B1B68" w:rsidP="001B1B68">
      <w:pPr>
        <w:numPr>
          <w:ilvl w:val="0"/>
          <w:numId w:val="8"/>
        </w:numPr>
        <w:tabs>
          <w:tab w:val="clear" w:pos="1470"/>
          <w:tab w:val="num" w:pos="900"/>
        </w:tabs>
        <w:spacing w:after="0"/>
        <w:ind w:hanging="1470"/>
        <w:jc w:val="both"/>
        <w:rPr>
          <w:rFonts w:asciiTheme="minorHAnsi" w:hAnsiTheme="minorHAnsi"/>
          <w:sz w:val="20"/>
          <w:szCs w:val="20"/>
        </w:rPr>
      </w:pPr>
      <w:r w:rsidRPr="0017633D">
        <w:rPr>
          <w:rFonts w:asciiTheme="minorHAnsi" w:hAnsiTheme="minorHAnsi"/>
          <w:sz w:val="20"/>
          <w:szCs w:val="20"/>
        </w:rPr>
        <w:t>Modification of the license                : 1.000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p>
    <w:p w:rsidR="001B1B68" w:rsidRPr="0017633D" w:rsidRDefault="001B1B68" w:rsidP="001B1B68">
      <w:pPr>
        <w:numPr>
          <w:ilvl w:val="0"/>
          <w:numId w:val="8"/>
        </w:numPr>
        <w:tabs>
          <w:tab w:val="clear" w:pos="1470"/>
          <w:tab w:val="num" w:pos="900"/>
        </w:tabs>
        <w:spacing w:after="0"/>
        <w:ind w:hanging="1470"/>
        <w:jc w:val="both"/>
        <w:rPr>
          <w:rFonts w:asciiTheme="minorHAnsi" w:hAnsiTheme="minorHAnsi"/>
          <w:b/>
          <w:sz w:val="20"/>
          <w:szCs w:val="20"/>
        </w:rPr>
      </w:pPr>
      <w:r w:rsidRPr="0017633D">
        <w:rPr>
          <w:rFonts w:asciiTheme="minorHAnsi" w:hAnsiTheme="minorHAnsi"/>
          <w:sz w:val="20"/>
          <w:szCs w:val="20"/>
        </w:rPr>
        <w:t xml:space="preserve">Copy of the license                           </w:t>
      </w:r>
      <w:r w:rsidR="00771369">
        <w:rPr>
          <w:rFonts w:asciiTheme="minorHAnsi" w:hAnsiTheme="minorHAnsi"/>
          <w:sz w:val="20"/>
          <w:szCs w:val="20"/>
        </w:rPr>
        <w:t xml:space="preserve">  </w:t>
      </w:r>
      <w:r w:rsidRPr="0017633D">
        <w:rPr>
          <w:rFonts w:asciiTheme="minorHAnsi" w:hAnsiTheme="minorHAnsi"/>
          <w:sz w:val="20"/>
          <w:szCs w:val="20"/>
        </w:rPr>
        <w:t xml:space="preserve"> : 100</w:t>
      </w:r>
      <w:proofErr w:type="gramStart"/>
      <w:r w:rsidRPr="0017633D">
        <w:rPr>
          <w:rFonts w:asciiTheme="minorHAnsi" w:hAnsiTheme="minorHAnsi"/>
          <w:sz w:val="20"/>
          <w:szCs w:val="20"/>
        </w:rPr>
        <w:t>.-</w:t>
      </w:r>
      <w:proofErr w:type="gramEnd"/>
      <w:r w:rsidRPr="0017633D">
        <w:rPr>
          <w:rFonts w:asciiTheme="minorHAnsi" w:hAnsiTheme="minorHAnsi"/>
          <w:sz w:val="20"/>
          <w:szCs w:val="20"/>
        </w:rPr>
        <w:t xml:space="preserve"> YTL.</w:t>
      </w:r>
      <w:r w:rsidRPr="0017633D">
        <w:rPr>
          <w:rFonts w:asciiTheme="minorHAnsi" w:hAnsiTheme="minorHAnsi"/>
          <w:b/>
          <w:sz w:val="20"/>
          <w:szCs w:val="20"/>
        </w:rPr>
        <w:t xml:space="preserve">   </w:t>
      </w:r>
    </w:p>
    <w:p w:rsidR="001B1B68" w:rsidRPr="0017633D" w:rsidRDefault="001B1B68" w:rsidP="001B1B68">
      <w:pPr>
        <w:shd w:val="clear" w:color="auto" w:fill="FFFFFF"/>
        <w:spacing w:after="0"/>
        <w:jc w:val="both"/>
        <w:rPr>
          <w:rFonts w:asciiTheme="minorHAnsi" w:hAnsiTheme="minorHAnsi"/>
          <w:b/>
          <w:color w:val="FF0000"/>
          <w:sz w:val="20"/>
          <w:szCs w:val="20"/>
        </w:rPr>
      </w:pPr>
    </w:p>
    <w:p w:rsidR="001B1B68" w:rsidRPr="0017633D" w:rsidRDefault="001B1B68" w:rsidP="001B1B68">
      <w:pPr>
        <w:shd w:val="clear" w:color="auto" w:fill="FFFFFF"/>
        <w:spacing w:after="0"/>
        <w:jc w:val="both"/>
        <w:rPr>
          <w:rFonts w:asciiTheme="minorHAnsi" w:hAnsiTheme="minorHAnsi"/>
          <w:b/>
          <w:color w:val="000000"/>
          <w:sz w:val="20"/>
          <w:szCs w:val="20"/>
        </w:rPr>
      </w:pPr>
      <w:r w:rsidRPr="0017633D">
        <w:rPr>
          <w:rFonts w:asciiTheme="minorHAnsi" w:hAnsiTheme="minorHAnsi"/>
          <w:b/>
          <w:color w:val="000000"/>
          <w:sz w:val="20"/>
          <w:szCs w:val="20"/>
        </w:rPr>
        <w:t>Participation Fee</w:t>
      </w:r>
    </w:p>
    <w:p w:rsidR="001B1B68" w:rsidRPr="0017633D" w:rsidRDefault="001B1B68" w:rsidP="001B1B68">
      <w:pPr>
        <w:spacing w:after="0"/>
        <w:jc w:val="both"/>
        <w:rPr>
          <w:rFonts w:asciiTheme="minorHAnsi" w:eastAsia="MS Mincho" w:hAnsiTheme="minorHAnsi"/>
          <w:b/>
          <w:bCs/>
          <w:color w:val="000000"/>
          <w:sz w:val="20"/>
          <w:szCs w:val="20"/>
        </w:rPr>
      </w:pPr>
      <w:r w:rsidRPr="0017633D">
        <w:rPr>
          <w:rFonts w:asciiTheme="minorHAnsi" w:hAnsiTheme="minorHAnsi"/>
          <w:sz w:val="20"/>
          <w:szCs w:val="20"/>
        </w:rPr>
        <w:t>The legal entities holding licenses and certificates are liable to pay participation fee. The participation fee is calculated by multiplying the net sales revenue amount in income tables to be prepared with respect to the annual activity periods of the said payers, with the participation fee rate to be determined by the Board, provided that such rate does not exceed 0.2 %. In this framework, the rate regarding the participation fee that the licensees that are performing in the natural gas market are obliged to pay for the year 2007 is determined as 0,05 %.(five out of ten thousand). The rate regarding the participation fee for the certificate holders that are performing in the natural gas market are obliged to pay for the year 2007 is determined as 0 (zero).</w:t>
      </w:r>
    </w:p>
    <w:p w:rsidR="001B1B68" w:rsidRPr="0017633D" w:rsidRDefault="001B1B68" w:rsidP="001B1B68">
      <w:pPr>
        <w:tabs>
          <w:tab w:val="left" w:pos="709"/>
        </w:tabs>
        <w:spacing w:after="0"/>
        <w:jc w:val="both"/>
        <w:rPr>
          <w:rFonts w:asciiTheme="minorHAnsi" w:eastAsia="MS Mincho" w:hAnsiTheme="minorHAnsi"/>
          <w:b/>
          <w:bCs/>
          <w:color w:val="000000"/>
          <w:sz w:val="20"/>
          <w:szCs w:val="20"/>
        </w:rPr>
      </w:pPr>
    </w:p>
    <w:p w:rsidR="001B1B68" w:rsidRPr="0017633D" w:rsidRDefault="001B1B68" w:rsidP="001B1B68">
      <w:pPr>
        <w:tabs>
          <w:tab w:val="left" w:pos="709"/>
        </w:tabs>
        <w:spacing w:after="0"/>
        <w:jc w:val="both"/>
        <w:rPr>
          <w:rFonts w:asciiTheme="minorHAnsi" w:eastAsia="MS Mincho" w:hAnsiTheme="minorHAnsi"/>
          <w:b/>
          <w:bCs/>
          <w:color w:val="000000"/>
          <w:sz w:val="20"/>
          <w:szCs w:val="20"/>
        </w:rPr>
      </w:pPr>
      <w:r w:rsidRPr="0017633D">
        <w:rPr>
          <w:rFonts w:asciiTheme="minorHAnsi" w:eastAsia="MS Mincho" w:hAnsiTheme="minorHAnsi"/>
          <w:b/>
          <w:bCs/>
          <w:color w:val="000000"/>
          <w:sz w:val="20"/>
          <w:szCs w:val="20"/>
        </w:rPr>
        <w:t>In-City Natural Gas Distribution Tender Process</w:t>
      </w: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pacing w:val="-2"/>
          <w:sz w:val="20"/>
          <w:szCs w:val="20"/>
        </w:rPr>
        <w:t xml:space="preserve">EMRA is assigned with the duty of conducting in-city natural gas </w:t>
      </w:r>
      <w:r w:rsidRPr="0017633D">
        <w:rPr>
          <w:rFonts w:asciiTheme="minorHAnsi" w:hAnsiTheme="minorHAnsi"/>
          <w:sz w:val="20"/>
          <w:szCs w:val="20"/>
        </w:rPr>
        <w:t xml:space="preserve">distribution license tenders. In order to bid in an in-city natural gas distribution tender the companies need to obtain pre-qualification from EMRA. In this framework, </w:t>
      </w:r>
    </w:p>
    <w:p w:rsidR="001B1B68" w:rsidRPr="0017633D" w:rsidRDefault="001B1B68" w:rsidP="001B1B68">
      <w:pPr>
        <w:spacing w:after="0"/>
        <w:ind w:firstLine="360"/>
        <w:jc w:val="both"/>
        <w:rPr>
          <w:rFonts w:asciiTheme="minorHAnsi" w:hAnsiTheme="minorHAnsi"/>
          <w:color w:val="FF0000"/>
          <w:sz w:val="20"/>
          <w:szCs w:val="20"/>
        </w:rPr>
      </w:pP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As specified in the Article 8 of the Natural Gas Distribution and Customer Services Regulation:</w:t>
      </w:r>
    </w:p>
    <w:p w:rsidR="001B1B68" w:rsidRPr="0017633D" w:rsidRDefault="001B1B68" w:rsidP="001B1B68">
      <w:pPr>
        <w:spacing w:after="0"/>
        <w:ind w:left="360"/>
        <w:jc w:val="both"/>
        <w:rPr>
          <w:rFonts w:asciiTheme="minorHAnsi" w:hAnsiTheme="minorHAnsi"/>
          <w:color w:val="FF0000"/>
          <w:sz w:val="20"/>
          <w:szCs w:val="20"/>
        </w:rPr>
      </w:pPr>
    </w:p>
    <w:p w:rsidR="001B1B68" w:rsidRPr="0017633D" w:rsidRDefault="001B1B68" w:rsidP="001B1B68">
      <w:pPr>
        <w:numPr>
          <w:ilvl w:val="0"/>
          <w:numId w:val="10"/>
        </w:numPr>
        <w:tabs>
          <w:tab w:val="clear" w:pos="720"/>
          <w:tab w:val="num" w:pos="1068"/>
        </w:tabs>
        <w:spacing w:after="0"/>
        <w:ind w:left="1068"/>
        <w:jc w:val="both"/>
        <w:rPr>
          <w:rFonts w:asciiTheme="minorHAnsi" w:hAnsiTheme="minorHAnsi"/>
          <w:sz w:val="20"/>
          <w:szCs w:val="20"/>
        </w:rPr>
      </w:pPr>
      <w:r w:rsidRPr="0017633D">
        <w:rPr>
          <w:rFonts w:asciiTheme="minorHAnsi" w:hAnsiTheme="minorHAnsi"/>
          <w:sz w:val="20"/>
          <w:szCs w:val="20"/>
        </w:rPr>
        <w:t xml:space="preserve"> Companies whose participation to public tenders has been prohibited as of the date of the tender announcement,</w:t>
      </w:r>
    </w:p>
    <w:p w:rsidR="001B1B68" w:rsidRPr="0017633D" w:rsidRDefault="001B1B68" w:rsidP="001B1B68">
      <w:pPr>
        <w:numPr>
          <w:ilvl w:val="0"/>
          <w:numId w:val="10"/>
        </w:numPr>
        <w:tabs>
          <w:tab w:val="clear" w:pos="720"/>
          <w:tab w:val="num" w:pos="1068"/>
        </w:tabs>
        <w:spacing w:after="0"/>
        <w:ind w:left="1068"/>
        <w:jc w:val="both"/>
        <w:rPr>
          <w:rFonts w:asciiTheme="minorHAnsi" w:hAnsiTheme="minorHAnsi"/>
          <w:sz w:val="20"/>
          <w:szCs w:val="20"/>
        </w:rPr>
      </w:pPr>
      <w:r w:rsidRPr="0017633D">
        <w:rPr>
          <w:rFonts w:asciiTheme="minorHAnsi" w:hAnsiTheme="minorHAnsi"/>
          <w:sz w:val="20"/>
          <w:szCs w:val="20"/>
        </w:rPr>
        <w:t>Companies where real persons, who hold shares equal to or above ten percent in the capital of the legal entity, have been sentenced to heavy imprisonment or imprisonment longer than five years for infamous crimes such as simple or aggravated embezzlement; forming an organization in order to commit a crime; extortion; bribery; robbery; fraud; falsification; breach of trust; fraudulent bankruptcy or for smuggling other than smuggling of goods; manipulation of public biddings and procurements; money laundering or disclosure of State secrets or fiscal evasion,</w:t>
      </w:r>
    </w:p>
    <w:p w:rsidR="001B1B68" w:rsidRPr="0017633D" w:rsidRDefault="001B1B68" w:rsidP="001B1B68">
      <w:pPr>
        <w:numPr>
          <w:ilvl w:val="0"/>
          <w:numId w:val="10"/>
        </w:numPr>
        <w:tabs>
          <w:tab w:val="clear" w:pos="720"/>
          <w:tab w:val="num" w:pos="1068"/>
        </w:tabs>
        <w:spacing w:after="0"/>
        <w:ind w:left="1068"/>
        <w:jc w:val="both"/>
        <w:rPr>
          <w:rFonts w:asciiTheme="minorHAnsi" w:hAnsiTheme="minorHAnsi"/>
          <w:sz w:val="20"/>
          <w:szCs w:val="20"/>
        </w:rPr>
      </w:pPr>
      <w:r w:rsidRPr="0017633D">
        <w:rPr>
          <w:rFonts w:asciiTheme="minorHAnsi" w:hAnsiTheme="minorHAnsi"/>
          <w:sz w:val="20"/>
          <w:szCs w:val="20"/>
        </w:rPr>
        <w:t>Companies where relatives, up to first level, of president or members of the Board, chairman or members of the tender commission hold shares, directly or indirectly, other than those shares acquired through the stock markets,</w:t>
      </w:r>
    </w:p>
    <w:p w:rsidR="001B1B68" w:rsidRPr="0017633D" w:rsidRDefault="001B1B68" w:rsidP="001B1B68">
      <w:pPr>
        <w:numPr>
          <w:ilvl w:val="0"/>
          <w:numId w:val="10"/>
        </w:numPr>
        <w:tabs>
          <w:tab w:val="clear" w:pos="720"/>
          <w:tab w:val="num" w:pos="1068"/>
        </w:tabs>
        <w:spacing w:after="0"/>
        <w:ind w:left="1068"/>
        <w:jc w:val="both"/>
        <w:rPr>
          <w:rFonts w:asciiTheme="minorHAnsi" w:hAnsiTheme="minorHAnsi"/>
          <w:sz w:val="20"/>
          <w:szCs w:val="20"/>
        </w:rPr>
      </w:pPr>
      <w:r w:rsidRPr="0017633D">
        <w:rPr>
          <w:rFonts w:asciiTheme="minorHAnsi" w:hAnsiTheme="minorHAnsi"/>
          <w:sz w:val="20"/>
          <w:szCs w:val="20"/>
        </w:rPr>
        <w:t>The companies whose capital are below the amount specified in the terms of reference ( in practice the minimum level is 1.000.000 YTL)</w:t>
      </w:r>
      <w:r w:rsidRPr="0017633D">
        <w:rPr>
          <w:rFonts w:asciiTheme="minorHAnsi" w:hAnsiTheme="minorHAnsi"/>
          <w:color w:val="FF0000"/>
          <w:sz w:val="20"/>
          <w:szCs w:val="20"/>
        </w:rPr>
        <w:t xml:space="preserve"> </w:t>
      </w:r>
    </w:p>
    <w:p w:rsidR="001B1B68" w:rsidRPr="0017633D" w:rsidRDefault="001B1B68" w:rsidP="001B1B68">
      <w:pPr>
        <w:numPr>
          <w:ilvl w:val="0"/>
          <w:numId w:val="10"/>
        </w:numPr>
        <w:tabs>
          <w:tab w:val="clear" w:pos="720"/>
          <w:tab w:val="num" w:pos="1068"/>
        </w:tabs>
        <w:spacing w:after="0"/>
        <w:ind w:left="1068"/>
        <w:jc w:val="both"/>
        <w:rPr>
          <w:rFonts w:asciiTheme="minorHAnsi" w:hAnsiTheme="minorHAnsi"/>
          <w:sz w:val="20"/>
          <w:szCs w:val="20"/>
        </w:rPr>
      </w:pPr>
      <w:r w:rsidRPr="0017633D">
        <w:rPr>
          <w:rFonts w:asciiTheme="minorHAnsi" w:hAnsiTheme="minorHAnsi"/>
          <w:sz w:val="20"/>
          <w:szCs w:val="20"/>
        </w:rPr>
        <w:t>The companies which are not based in Turkey,</w:t>
      </w:r>
    </w:p>
    <w:p w:rsidR="001B1B68" w:rsidRPr="0017633D" w:rsidRDefault="001B1B68" w:rsidP="001B1B68">
      <w:pPr>
        <w:spacing w:after="0"/>
        <w:jc w:val="both"/>
        <w:rPr>
          <w:rFonts w:asciiTheme="minorHAnsi" w:hAnsiTheme="minorHAnsi"/>
          <w:sz w:val="20"/>
          <w:szCs w:val="20"/>
        </w:rPr>
      </w:pPr>
    </w:p>
    <w:p w:rsidR="001B1B68" w:rsidRPr="0017633D" w:rsidRDefault="001B1B68" w:rsidP="001B1B68">
      <w:pPr>
        <w:spacing w:after="0"/>
        <w:jc w:val="both"/>
        <w:rPr>
          <w:rFonts w:asciiTheme="minorHAnsi" w:hAnsiTheme="minorHAnsi"/>
          <w:color w:val="FF0000"/>
          <w:sz w:val="20"/>
          <w:szCs w:val="20"/>
        </w:rPr>
      </w:pPr>
      <w:proofErr w:type="gramStart"/>
      <w:r w:rsidRPr="0017633D">
        <w:rPr>
          <w:rFonts w:asciiTheme="minorHAnsi" w:hAnsiTheme="minorHAnsi"/>
          <w:sz w:val="20"/>
          <w:szCs w:val="20"/>
        </w:rPr>
        <w:t>shall</w:t>
      </w:r>
      <w:proofErr w:type="gramEnd"/>
      <w:r w:rsidRPr="0017633D">
        <w:rPr>
          <w:rFonts w:asciiTheme="minorHAnsi" w:hAnsiTheme="minorHAnsi"/>
          <w:sz w:val="20"/>
          <w:szCs w:val="20"/>
        </w:rPr>
        <w:t xml:space="preserve"> not apply for pre-qualification</w:t>
      </w:r>
      <w:r w:rsidRPr="0017633D">
        <w:rPr>
          <w:rFonts w:asciiTheme="minorHAnsi" w:hAnsiTheme="minorHAnsi"/>
          <w:color w:val="FF0000"/>
          <w:sz w:val="20"/>
          <w:szCs w:val="20"/>
        </w:rPr>
        <w:t xml:space="preserve">. </w:t>
      </w:r>
    </w:p>
    <w:p w:rsidR="001B1B68" w:rsidRPr="0017633D" w:rsidRDefault="001B1B68" w:rsidP="001B1B68">
      <w:pPr>
        <w:spacing w:after="0"/>
        <w:ind w:firstLine="708"/>
        <w:jc w:val="both"/>
        <w:rPr>
          <w:rFonts w:asciiTheme="minorHAnsi" w:hAnsiTheme="minorHAnsi"/>
          <w:color w:val="FF0000"/>
          <w:sz w:val="20"/>
          <w:szCs w:val="20"/>
        </w:rPr>
      </w:pP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color w:val="000000"/>
          <w:sz w:val="20"/>
          <w:szCs w:val="20"/>
        </w:rPr>
        <w:t>Tender commission shall evaluate the pre-qualification applications based on the adequacy of the applicants. The adequacy of the companies shall be evaluated taking into consideration their financial status and experience of the company and/or its shareholders with respect to the network investment and performance of the operation activity required in the city subject to the tender hands on experience of the firms which are going to obtain services is taken into account.</w:t>
      </w:r>
      <w:r w:rsidRPr="0017633D">
        <w:rPr>
          <w:rFonts w:asciiTheme="minorHAnsi" w:hAnsiTheme="minorHAnsi"/>
          <w:bCs/>
          <w:sz w:val="20"/>
          <w:szCs w:val="20"/>
        </w:rPr>
        <w:t xml:space="preserve"> </w:t>
      </w:r>
      <w:r w:rsidRPr="0017633D">
        <w:rPr>
          <w:rFonts w:asciiTheme="minorHAnsi" w:eastAsia="MS Mincho" w:hAnsiTheme="minorHAnsi"/>
          <w:bCs/>
          <w:color w:val="000000"/>
          <w:sz w:val="20"/>
          <w:szCs w:val="20"/>
        </w:rPr>
        <w:t>Pre-qualification applications shall be evaluated based on;</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b/>
          <w:color w:val="000000"/>
          <w:sz w:val="20"/>
          <w:szCs w:val="20"/>
        </w:rPr>
        <w:t>-</w:t>
      </w:r>
      <w:r w:rsidRPr="0017633D">
        <w:rPr>
          <w:rFonts w:asciiTheme="minorHAnsi" w:eastAsia="MS Mincho" w:hAnsiTheme="minorHAnsi"/>
          <w:color w:val="000000"/>
          <w:sz w:val="20"/>
          <w:szCs w:val="20"/>
        </w:rPr>
        <w:t>With respect to financial viability; equity, balance sheets and income statements and documents and letters of intent of the bidder firm and its shareholders,</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b/>
          <w:color w:val="000000"/>
          <w:sz w:val="20"/>
          <w:szCs w:val="20"/>
        </w:rPr>
        <w:lastRenderedPageBreak/>
        <w:t>-</w:t>
      </w:r>
      <w:r w:rsidRPr="0017633D">
        <w:rPr>
          <w:rFonts w:asciiTheme="minorHAnsi" w:eastAsia="MS Mincho" w:hAnsiTheme="minorHAnsi"/>
          <w:color w:val="000000"/>
          <w:sz w:val="20"/>
          <w:szCs w:val="20"/>
        </w:rPr>
        <w:t>With respect to experience; experience of the firm and/or its shareholder, in the natural gas sector and/or other sectors, experience of the firms which will provide construction and operation services to the bidder.</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color w:val="000000"/>
          <w:sz w:val="20"/>
          <w:szCs w:val="20"/>
        </w:rPr>
        <w:t xml:space="preserve">Since the distribution company shall not be allowed to perform any other activity other than natural gas distribution activity and the company which acquires the right to obtain a distribution license shall be obliged to make the necessary amendments in its articles of association in accordance with the relevant legislation or it will be necessary for the firm to establish another company with the same shareholder status, in the event that the company which will participate in the tender is newly established, the experience and financial liability of the direct and/or indirect real and/or legal person partners’ shall be taken into account.   </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hAnsiTheme="minorHAnsi"/>
          <w:sz w:val="20"/>
          <w:szCs w:val="20"/>
        </w:rPr>
      </w:pPr>
      <w:r w:rsidRPr="0017633D">
        <w:rPr>
          <w:rFonts w:asciiTheme="minorHAnsi" w:hAnsiTheme="minorHAnsi"/>
          <w:bCs/>
          <w:sz w:val="20"/>
          <w:szCs w:val="20"/>
        </w:rPr>
        <w:t>Those companies which are deemed adequate by the Board shall be invited to obtain the tender documents from the Authority and submit their bids prepared in conformity with the tender documents to the Authority in the time specified.</w:t>
      </w:r>
      <w:r w:rsidRPr="0017633D">
        <w:rPr>
          <w:rFonts w:asciiTheme="minorHAnsi" w:hAnsiTheme="minorHAnsi"/>
          <w:sz w:val="20"/>
          <w:szCs w:val="20"/>
        </w:rPr>
        <w:t xml:space="preserve"> </w:t>
      </w:r>
      <w:r w:rsidRPr="0017633D">
        <w:rPr>
          <w:rFonts w:asciiTheme="minorHAnsi" w:hAnsiTheme="minorHAnsi"/>
          <w:bCs/>
          <w:sz w:val="20"/>
          <w:szCs w:val="20"/>
        </w:rPr>
        <w:t>Bid bond and performance bond shall be determined as a fixed amount, the bid bond shall be stated in the tender announcement and amount of the performance bond shall be stated in the terms of reference.</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spacing w:after="0"/>
        <w:jc w:val="both"/>
        <w:rPr>
          <w:rFonts w:asciiTheme="minorHAnsi" w:hAnsiTheme="minorHAnsi"/>
          <w:color w:val="FF0000"/>
          <w:sz w:val="20"/>
          <w:szCs w:val="20"/>
        </w:rPr>
      </w:pPr>
      <w:r w:rsidRPr="0017633D">
        <w:rPr>
          <w:rFonts w:asciiTheme="minorHAnsi" w:hAnsiTheme="minorHAnsi"/>
          <w:sz w:val="20"/>
          <w:szCs w:val="20"/>
        </w:rPr>
        <w:t>The in-city natural gas distribution tenders are conducted in accordance with Natural Gas Market Law and Natural Gas Distribution and Customer Services Regulation</w:t>
      </w:r>
      <w:r w:rsidRPr="0017633D">
        <w:rPr>
          <w:rFonts w:asciiTheme="minorHAnsi" w:hAnsiTheme="minorHAnsi"/>
          <w:color w:val="FF0000"/>
          <w:sz w:val="20"/>
          <w:szCs w:val="20"/>
        </w:rPr>
        <w:t xml:space="preserve"> </w:t>
      </w:r>
      <w:r w:rsidRPr="0017633D">
        <w:rPr>
          <w:rFonts w:asciiTheme="minorHAnsi" w:hAnsiTheme="minorHAnsi"/>
          <w:sz w:val="20"/>
          <w:szCs w:val="20"/>
        </w:rPr>
        <w:t>in an open discount process.</w:t>
      </w:r>
      <w:r w:rsidRPr="0017633D">
        <w:rPr>
          <w:rFonts w:asciiTheme="minorHAnsi" w:hAnsiTheme="minorHAnsi"/>
          <w:color w:val="FF0000"/>
          <w:sz w:val="20"/>
          <w:szCs w:val="20"/>
        </w:rPr>
        <w:t xml:space="preserve"> </w:t>
      </w:r>
      <w:r w:rsidRPr="0017633D">
        <w:rPr>
          <w:rFonts w:asciiTheme="minorHAnsi" w:eastAsia="MS Mincho" w:hAnsiTheme="minorHAnsi"/>
          <w:bCs/>
          <w:color w:val="000000"/>
          <w:sz w:val="20"/>
          <w:szCs w:val="20"/>
        </w:rPr>
        <w:t xml:space="preserve">The bids shall be evaluated based on the unit service and depreciation charge, which shall be proposed as a single charge for supplying one kWh natural gas to consumers. The bids shall be ranked based on the unit service and depreciation charges offered, the three lowest bids shall be determined and the relevant bidders shall make discounts of their bids. </w:t>
      </w:r>
      <w:r w:rsidRPr="0017633D">
        <w:rPr>
          <w:rFonts w:asciiTheme="minorHAnsi" w:eastAsia="MS Mincho" w:hAnsiTheme="minorHAnsi"/>
          <w:bCs/>
          <w:sz w:val="20"/>
          <w:szCs w:val="20"/>
        </w:rPr>
        <w:t>The Board shall determine, as a result of the discount process, the bidder with the lowest bid, who shall be the company which acquires the right to be granted a distribution license and the companies ranking in second and third places</w:t>
      </w:r>
      <w:r w:rsidRPr="0017633D">
        <w:rPr>
          <w:rFonts w:asciiTheme="minorHAnsi" w:hAnsiTheme="minorHAnsi"/>
          <w:sz w:val="20"/>
          <w:szCs w:val="20"/>
        </w:rPr>
        <w:t xml:space="preserve">. In the event that, as a result of the open discount process the </w:t>
      </w:r>
      <w:r w:rsidRPr="0017633D">
        <w:rPr>
          <w:rFonts w:asciiTheme="minorHAnsi" w:eastAsia="MS Mincho" w:hAnsiTheme="minorHAnsi"/>
          <w:bCs/>
          <w:sz w:val="20"/>
          <w:szCs w:val="20"/>
        </w:rPr>
        <w:t xml:space="preserve">unit service and depreciation charge comes out as 0 (zero), the </w:t>
      </w:r>
      <w:r w:rsidRPr="0017633D">
        <w:rPr>
          <w:rFonts w:asciiTheme="minorHAnsi" w:hAnsiTheme="minorHAnsi"/>
          <w:sz w:val="20"/>
          <w:szCs w:val="20"/>
        </w:rPr>
        <w:t xml:space="preserve">open discount process continues over the connection fee which is determined in the terms of reference and will be valid for five years. The company bidding for the lowest connection fee wins the tender. The </w:t>
      </w:r>
      <w:r w:rsidRPr="0017633D">
        <w:rPr>
          <w:rFonts w:asciiTheme="minorHAnsi" w:eastAsia="MS Mincho" w:hAnsiTheme="minorHAnsi"/>
          <w:bCs/>
          <w:sz w:val="20"/>
          <w:szCs w:val="20"/>
        </w:rPr>
        <w:t xml:space="preserve">unit service and depreciation charge is applied for the duration specified in the terms of reference (in practice eight years). After the end of this term the unit service and depreciation charge based on price cap which shall be determined by the Board will be applied. </w:t>
      </w:r>
      <w:r w:rsidRPr="0017633D">
        <w:rPr>
          <w:rFonts w:asciiTheme="minorHAnsi" w:hAnsiTheme="minorHAnsi"/>
          <w:sz w:val="20"/>
          <w:szCs w:val="20"/>
        </w:rPr>
        <w:t xml:space="preserve">The companies which win the tender and completed the necessary procedure before obtaining license are granted the distribution license by the Board Decision. </w:t>
      </w:r>
    </w:p>
    <w:p w:rsidR="001B1B68" w:rsidRPr="0017633D" w:rsidRDefault="001B1B68" w:rsidP="001B1B68">
      <w:pPr>
        <w:spacing w:after="0"/>
        <w:jc w:val="both"/>
        <w:rPr>
          <w:rFonts w:asciiTheme="minorHAnsi" w:hAnsiTheme="minorHAnsi"/>
          <w:sz w:val="20"/>
          <w:szCs w:val="20"/>
        </w:rPr>
      </w:pPr>
    </w:p>
    <w:p w:rsidR="001B1B68" w:rsidRPr="0017633D" w:rsidRDefault="001B1B68" w:rsidP="001B1B68">
      <w:pPr>
        <w:spacing w:after="0"/>
        <w:jc w:val="both"/>
        <w:rPr>
          <w:rFonts w:asciiTheme="minorHAnsi" w:hAnsiTheme="minorHAnsi"/>
          <w:sz w:val="20"/>
          <w:szCs w:val="20"/>
        </w:rPr>
      </w:pPr>
      <w:r w:rsidRPr="0017633D">
        <w:rPr>
          <w:rFonts w:asciiTheme="minorHAnsi" w:hAnsiTheme="minorHAnsi"/>
          <w:sz w:val="20"/>
          <w:szCs w:val="20"/>
        </w:rPr>
        <w:t>The company holding a distribution license is authorized in a specified city for specified license duration (in practice 30 years) to distribute natural gas via the distribution lines constructed by them under their ownership.</w:t>
      </w:r>
    </w:p>
    <w:p w:rsidR="001B1B68" w:rsidRPr="0017633D" w:rsidRDefault="001B1B68" w:rsidP="001B1B68">
      <w:pPr>
        <w:spacing w:after="0"/>
        <w:ind w:firstLine="708"/>
        <w:jc w:val="both"/>
        <w:rPr>
          <w:rFonts w:asciiTheme="minorHAnsi" w:hAnsiTheme="minorHAnsi"/>
          <w:color w:val="FF0000"/>
          <w:sz w:val="20"/>
          <w:szCs w:val="20"/>
        </w:rPr>
      </w:pPr>
    </w:p>
    <w:p w:rsidR="001B1B68" w:rsidRPr="0017633D" w:rsidRDefault="001B1B68" w:rsidP="001B1B68">
      <w:pPr>
        <w:tabs>
          <w:tab w:val="left" w:pos="709"/>
        </w:tabs>
        <w:spacing w:after="0"/>
        <w:jc w:val="both"/>
        <w:rPr>
          <w:rFonts w:asciiTheme="minorHAnsi" w:eastAsia="MS Mincho" w:hAnsiTheme="minorHAnsi"/>
          <w:b/>
          <w:bCs/>
          <w:color w:val="000000"/>
          <w:sz w:val="20"/>
          <w:szCs w:val="20"/>
        </w:rPr>
      </w:pPr>
      <w:r w:rsidRPr="0017633D">
        <w:rPr>
          <w:rFonts w:asciiTheme="minorHAnsi" w:eastAsia="MS Mincho" w:hAnsiTheme="minorHAnsi"/>
          <w:b/>
          <w:bCs/>
          <w:color w:val="000000"/>
          <w:sz w:val="20"/>
          <w:szCs w:val="20"/>
        </w:rPr>
        <w:t>Contract Release</w:t>
      </w:r>
    </w:p>
    <w:p w:rsidR="001B1B68" w:rsidRPr="0017633D" w:rsidRDefault="001B1B68" w:rsidP="001B1B68">
      <w:pPr>
        <w:spacing w:after="0"/>
        <w:ind w:right="23"/>
        <w:jc w:val="both"/>
        <w:rPr>
          <w:rFonts w:asciiTheme="minorHAnsi" w:eastAsia="SimSun" w:hAnsiTheme="minorHAnsi"/>
          <w:sz w:val="20"/>
          <w:szCs w:val="20"/>
        </w:rPr>
      </w:pPr>
      <w:r w:rsidRPr="0017633D">
        <w:rPr>
          <w:rFonts w:asciiTheme="minorHAnsi" w:eastAsia="MS Mincho" w:hAnsiTheme="minorHAnsi"/>
          <w:color w:val="000000"/>
          <w:sz w:val="20"/>
          <w:szCs w:val="20"/>
        </w:rPr>
        <w:t xml:space="preserve">BOTAS, starting from the end of the preparation period, cannot execute a new natural gas purchase contract until its import amount falls down to the twenty percent of national consumption.  Until the aggregate of its annual import amount falls down to the twenty percent of annual national consumption until the year 2009, BOTAŞ shall execute tender partially or fully for the existing natural gas purchase or sale contracts together with all their rights and obligations, with the participation of the interested companies that have both been pre-qualified to get import license and obtained prior consent from the seller company regarding contract transfer.  Beginning from the first winner of the tender, BOTAS shall give consent to legal entities sequentially to negotiate with the seller party and to obtain seller’s consent for signing a new contract.  The release becomes effective after the related legal entity executes a new contract with the seller party for the amount to be transferred.  In the event that no such legal entity executes a contract with the seller party, another tender that allows volume release shall be done with the participation of the companies that are pre-qualified to get import license and provided that the winning import company shall agree to perform all cross border liabilities of BOTAS and that the natural gas price shall not be less than the natural gas price determined by bilateral agreements The Built- Operate and Built-Operate- Transfer model power plants whose contracts are under Treasury guarantee must prove to the Board that they, acting as a prudent operator, purchase the natural gas from the most economical source and reflect the decrease in the purchase cost of natural gas, in a manner to provide a decrease in the </w:t>
      </w:r>
      <w:r w:rsidRPr="0017633D">
        <w:rPr>
          <w:rFonts w:asciiTheme="minorHAnsi" w:eastAsia="MS Mincho" w:hAnsiTheme="minorHAnsi"/>
          <w:color w:val="000000"/>
          <w:sz w:val="20"/>
          <w:szCs w:val="20"/>
        </w:rPr>
        <w:lastRenderedPageBreak/>
        <w:t>electricity sale price provided that a waiver from the Treasury guarantees shall be given by applying to the Under Secretariat of Treasury.</w:t>
      </w:r>
    </w:p>
    <w:p w:rsidR="001B1B68" w:rsidRPr="0017633D" w:rsidRDefault="001B1B68" w:rsidP="001B1B68">
      <w:pPr>
        <w:spacing w:after="0"/>
        <w:ind w:right="23"/>
        <w:jc w:val="both"/>
        <w:rPr>
          <w:rFonts w:asciiTheme="minorHAnsi" w:hAnsiTheme="minorHAnsi"/>
          <w:color w:val="FF0000"/>
          <w:sz w:val="20"/>
          <w:szCs w:val="20"/>
        </w:rPr>
      </w:pP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In this context, the first contract release tender is held by BOTAŞ on 30</w:t>
      </w:r>
      <w:r w:rsidRPr="0017633D">
        <w:rPr>
          <w:rFonts w:asciiTheme="minorHAnsi" w:hAnsiTheme="minorHAnsi"/>
          <w:sz w:val="20"/>
          <w:szCs w:val="20"/>
          <w:vertAlign w:val="superscript"/>
        </w:rPr>
        <w:t>th</w:t>
      </w:r>
      <w:r w:rsidRPr="0017633D">
        <w:rPr>
          <w:rFonts w:asciiTheme="minorHAnsi" w:hAnsiTheme="minorHAnsi"/>
          <w:sz w:val="20"/>
          <w:szCs w:val="20"/>
        </w:rPr>
        <w:t xml:space="preserve"> of November 2005 and approved by BOTAŞ on 30</w:t>
      </w:r>
      <w:r w:rsidRPr="0017633D">
        <w:rPr>
          <w:rFonts w:asciiTheme="minorHAnsi" w:hAnsiTheme="minorHAnsi"/>
          <w:sz w:val="20"/>
          <w:szCs w:val="20"/>
          <w:vertAlign w:val="superscript"/>
        </w:rPr>
        <w:t>th</w:t>
      </w:r>
      <w:r w:rsidRPr="0017633D">
        <w:rPr>
          <w:rFonts w:asciiTheme="minorHAnsi" w:hAnsiTheme="minorHAnsi"/>
          <w:sz w:val="20"/>
          <w:szCs w:val="20"/>
        </w:rPr>
        <w:t xml:space="preserve"> of November 2006, it is anticipated the </w:t>
      </w:r>
      <w:proofErr w:type="spellStart"/>
      <w:r w:rsidRPr="0017633D">
        <w:rPr>
          <w:rFonts w:asciiTheme="minorHAnsi" w:hAnsiTheme="minorHAnsi"/>
          <w:sz w:val="20"/>
          <w:szCs w:val="20"/>
        </w:rPr>
        <w:t>the</w:t>
      </w:r>
      <w:proofErr w:type="spellEnd"/>
      <w:r w:rsidRPr="0017633D">
        <w:rPr>
          <w:rFonts w:asciiTheme="minorHAnsi" w:hAnsiTheme="minorHAnsi"/>
          <w:sz w:val="20"/>
          <w:szCs w:val="20"/>
        </w:rPr>
        <w:t xml:space="preserve"> first private sector importer is going to start its activities within natural gas market in 2007.</w:t>
      </w:r>
    </w:p>
    <w:p w:rsidR="001B1B68" w:rsidRPr="0017633D" w:rsidRDefault="001B1B68" w:rsidP="001B1B68">
      <w:pPr>
        <w:spacing w:after="0"/>
        <w:ind w:right="23"/>
        <w:jc w:val="both"/>
        <w:rPr>
          <w:rFonts w:asciiTheme="minorHAnsi" w:hAnsiTheme="minorHAnsi"/>
          <w:sz w:val="20"/>
          <w:szCs w:val="20"/>
        </w:rPr>
      </w:pPr>
    </w:p>
    <w:p w:rsidR="001B1B68" w:rsidRPr="0017633D" w:rsidRDefault="001B1B68" w:rsidP="001B1B68">
      <w:pPr>
        <w:spacing w:after="0"/>
        <w:ind w:right="23"/>
        <w:jc w:val="both"/>
        <w:rPr>
          <w:rFonts w:asciiTheme="minorHAnsi" w:hAnsiTheme="minorHAnsi"/>
          <w:b/>
          <w:bCs/>
          <w:sz w:val="20"/>
          <w:szCs w:val="20"/>
        </w:rPr>
      </w:pPr>
      <w:r w:rsidRPr="0017633D">
        <w:rPr>
          <w:rFonts w:asciiTheme="minorHAnsi" w:hAnsiTheme="minorHAnsi"/>
          <w:b/>
          <w:bCs/>
          <w:sz w:val="20"/>
          <w:szCs w:val="20"/>
        </w:rPr>
        <w:t>Network Code</w:t>
      </w: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Network code has been in force since 1 September 2004. Capacity allocation is made for one year based on entry-exit system. The entry-exit transmission tariff system has been adopted by the Board. Currently, transmission capacity is not being offered to third parties due to BOTAŞ’s de facto position as the only supplier. Rules pertaining to TPA are set out in the network code. The current transmission tariff is a non-indicative postal rate. In order to have natural gas transported the procedure for system entry can be summarized as follows:</w:t>
      </w:r>
    </w:p>
    <w:p w:rsidR="001B1B68" w:rsidRPr="0017633D" w:rsidRDefault="001B1B68" w:rsidP="001B1B68">
      <w:pPr>
        <w:spacing w:after="0"/>
        <w:ind w:right="23"/>
        <w:jc w:val="both"/>
        <w:rPr>
          <w:rFonts w:asciiTheme="minorHAnsi" w:hAnsiTheme="minorHAnsi"/>
          <w:sz w:val="20"/>
          <w:szCs w:val="20"/>
        </w:rPr>
      </w:pPr>
    </w:p>
    <w:p w:rsidR="001B1B68" w:rsidRPr="0017633D" w:rsidRDefault="001B1B68" w:rsidP="001B1B68">
      <w:pPr>
        <w:spacing w:after="0"/>
        <w:ind w:right="23"/>
        <w:jc w:val="both"/>
        <w:rPr>
          <w:rFonts w:asciiTheme="minorHAnsi" w:hAnsiTheme="minorHAnsi"/>
          <w:bCs/>
          <w:sz w:val="20"/>
          <w:szCs w:val="20"/>
        </w:rPr>
      </w:pPr>
      <w:r w:rsidRPr="0017633D">
        <w:rPr>
          <w:rFonts w:asciiTheme="minorHAnsi" w:hAnsiTheme="minorHAnsi"/>
          <w:bCs/>
          <w:sz w:val="20"/>
          <w:szCs w:val="20"/>
        </w:rPr>
        <w:t>Those, who apply for the first time to have the natural gas transported from any Entry Point to any Exit Point, should have import, export, or wholesale license. The copy of this license, the below information and documents shall be submitted to the Transporter.</w:t>
      </w:r>
    </w:p>
    <w:p w:rsidR="001B1B68" w:rsidRPr="0017633D" w:rsidRDefault="001B1B68" w:rsidP="001B1B68">
      <w:pPr>
        <w:spacing w:after="0"/>
        <w:ind w:right="23"/>
        <w:jc w:val="both"/>
        <w:rPr>
          <w:rFonts w:asciiTheme="minorHAnsi" w:hAnsiTheme="minorHAnsi"/>
          <w:bCs/>
          <w:sz w:val="20"/>
          <w:szCs w:val="20"/>
        </w:rPr>
      </w:pPr>
      <w:r w:rsidRPr="0017633D">
        <w:rPr>
          <w:rFonts w:asciiTheme="minorHAnsi" w:hAnsiTheme="minorHAnsi"/>
          <w:bCs/>
          <w:sz w:val="20"/>
          <w:szCs w:val="20"/>
        </w:rPr>
        <w:t xml:space="preserve"> </w:t>
      </w:r>
    </w:p>
    <w:p w:rsidR="001B1B68" w:rsidRPr="0017633D" w:rsidRDefault="001B1B68" w:rsidP="001B1B68">
      <w:pPr>
        <w:numPr>
          <w:ilvl w:val="0"/>
          <w:numId w:val="11"/>
        </w:numPr>
        <w:spacing w:after="0"/>
        <w:ind w:right="23"/>
        <w:jc w:val="both"/>
        <w:rPr>
          <w:rFonts w:asciiTheme="minorHAnsi" w:hAnsiTheme="minorHAnsi"/>
          <w:bCs/>
          <w:sz w:val="20"/>
          <w:szCs w:val="20"/>
        </w:rPr>
      </w:pPr>
      <w:r w:rsidRPr="0017633D">
        <w:rPr>
          <w:rFonts w:asciiTheme="minorHAnsi" w:hAnsiTheme="minorHAnsi"/>
          <w:bCs/>
          <w:sz w:val="20"/>
          <w:szCs w:val="20"/>
        </w:rPr>
        <w:t>The anticipated time for the first entry of the Natural Gas to the Transmission Network and the annual quantity anticipated to be transported in each Gas Year for a period of 5 years as of this date.</w:t>
      </w:r>
    </w:p>
    <w:p w:rsidR="001B1B68" w:rsidRPr="0017633D" w:rsidRDefault="001B1B68" w:rsidP="001B1B68">
      <w:pPr>
        <w:numPr>
          <w:ilvl w:val="0"/>
          <w:numId w:val="11"/>
        </w:numPr>
        <w:spacing w:after="0"/>
        <w:ind w:right="23"/>
        <w:jc w:val="both"/>
        <w:rPr>
          <w:rFonts w:asciiTheme="minorHAnsi" w:hAnsiTheme="minorHAnsi"/>
          <w:bCs/>
          <w:sz w:val="20"/>
          <w:szCs w:val="20"/>
        </w:rPr>
      </w:pPr>
      <w:r w:rsidRPr="0017633D">
        <w:rPr>
          <w:rFonts w:asciiTheme="minorHAnsi" w:hAnsiTheme="minorHAnsi"/>
          <w:bCs/>
          <w:sz w:val="20"/>
          <w:szCs w:val="20"/>
        </w:rPr>
        <w:t xml:space="preserve">The Entry and Exit Points for Natural Gas to be transported through Transmission Network, capacities requested for these points and monthly distribution share of the annual quantities for delivery and </w:t>
      </w:r>
      <w:proofErr w:type="spellStart"/>
      <w:r w:rsidRPr="0017633D">
        <w:rPr>
          <w:rFonts w:asciiTheme="minorHAnsi" w:hAnsiTheme="minorHAnsi"/>
          <w:bCs/>
          <w:sz w:val="20"/>
          <w:szCs w:val="20"/>
        </w:rPr>
        <w:t>offtakes</w:t>
      </w:r>
      <w:proofErr w:type="spellEnd"/>
      <w:r w:rsidRPr="0017633D">
        <w:rPr>
          <w:rFonts w:asciiTheme="minorHAnsi" w:hAnsiTheme="minorHAnsi"/>
          <w:bCs/>
          <w:sz w:val="20"/>
          <w:szCs w:val="20"/>
        </w:rPr>
        <w:t>.</w:t>
      </w:r>
    </w:p>
    <w:p w:rsidR="001B1B68" w:rsidRPr="0017633D" w:rsidRDefault="001B1B68" w:rsidP="001B1B68">
      <w:pPr>
        <w:numPr>
          <w:ilvl w:val="0"/>
          <w:numId w:val="11"/>
        </w:numPr>
        <w:spacing w:after="0"/>
        <w:ind w:right="23"/>
        <w:jc w:val="both"/>
        <w:rPr>
          <w:rFonts w:asciiTheme="minorHAnsi" w:hAnsiTheme="minorHAnsi"/>
          <w:bCs/>
          <w:sz w:val="20"/>
          <w:szCs w:val="20"/>
        </w:rPr>
      </w:pPr>
      <w:r w:rsidRPr="0017633D">
        <w:rPr>
          <w:rFonts w:asciiTheme="minorHAnsi" w:hAnsiTheme="minorHAnsi"/>
          <w:bCs/>
          <w:sz w:val="20"/>
          <w:szCs w:val="20"/>
        </w:rPr>
        <w:t>Minimum Delivery Pressure and minimum temperature requested for each Exit Point.</w:t>
      </w:r>
    </w:p>
    <w:p w:rsidR="001B1B68" w:rsidRPr="0017633D" w:rsidRDefault="001B1B68" w:rsidP="001B1B68">
      <w:pPr>
        <w:spacing w:after="0"/>
        <w:ind w:left="360" w:right="23"/>
        <w:jc w:val="both"/>
        <w:rPr>
          <w:rFonts w:asciiTheme="minorHAnsi" w:hAnsiTheme="minorHAnsi"/>
          <w:bCs/>
          <w:sz w:val="20"/>
          <w:szCs w:val="20"/>
        </w:rPr>
      </w:pPr>
    </w:p>
    <w:p w:rsidR="001B1B68" w:rsidRPr="0017633D" w:rsidRDefault="001B1B68" w:rsidP="001B1B68">
      <w:pPr>
        <w:spacing w:after="0"/>
        <w:ind w:right="23"/>
        <w:jc w:val="both"/>
        <w:rPr>
          <w:rFonts w:asciiTheme="minorHAnsi" w:hAnsiTheme="minorHAnsi"/>
          <w:bCs/>
          <w:sz w:val="20"/>
          <w:szCs w:val="20"/>
        </w:rPr>
      </w:pPr>
      <w:r w:rsidRPr="0017633D">
        <w:rPr>
          <w:rFonts w:asciiTheme="minorHAnsi" w:hAnsiTheme="minorHAnsi"/>
          <w:bCs/>
          <w:sz w:val="20"/>
          <w:szCs w:val="20"/>
        </w:rPr>
        <w:t>Production Companies holding Wholesale Licenses and those having Import Licenses shall submit the following information and documents in addition to the above:</w:t>
      </w:r>
    </w:p>
    <w:p w:rsidR="001B1B68" w:rsidRPr="0017633D" w:rsidRDefault="001B1B68" w:rsidP="001B1B68">
      <w:pPr>
        <w:spacing w:after="0"/>
        <w:ind w:right="23"/>
        <w:jc w:val="both"/>
        <w:rPr>
          <w:rFonts w:asciiTheme="minorHAnsi" w:hAnsiTheme="minorHAnsi"/>
          <w:bCs/>
          <w:sz w:val="20"/>
          <w:szCs w:val="20"/>
        </w:rPr>
      </w:pPr>
    </w:p>
    <w:p w:rsidR="001B1B68" w:rsidRPr="0017633D" w:rsidRDefault="001B1B68" w:rsidP="001B1B68">
      <w:pPr>
        <w:numPr>
          <w:ilvl w:val="0"/>
          <w:numId w:val="12"/>
        </w:numPr>
        <w:spacing w:after="0"/>
        <w:ind w:right="23"/>
        <w:jc w:val="both"/>
        <w:rPr>
          <w:rFonts w:asciiTheme="minorHAnsi" w:hAnsiTheme="minorHAnsi"/>
          <w:bCs/>
          <w:sz w:val="20"/>
          <w:szCs w:val="20"/>
        </w:rPr>
      </w:pPr>
      <w:r w:rsidRPr="0017633D">
        <w:rPr>
          <w:rFonts w:asciiTheme="minorHAnsi" w:hAnsiTheme="minorHAnsi"/>
          <w:bCs/>
          <w:sz w:val="20"/>
          <w:szCs w:val="20"/>
        </w:rPr>
        <w:t>The temperature and pressure range of the Natural Gas to be transported at the Transmission Network Entry Point,</w:t>
      </w:r>
    </w:p>
    <w:p w:rsidR="001B1B68" w:rsidRPr="0017633D" w:rsidRDefault="001B1B68" w:rsidP="001B1B68">
      <w:pPr>
        <w:numPr>
          <w:ilvl w:val="0"/>
          <w:numId w:val="12"/>
        </w:numPr>
        <w:spacing w:after="0"/>
        <w:ind w:right="23"/>
        <w:jc w:val="both"/>
        <w:rPr>
          <w:rFonts w:asciiTheme="minorHAnsi" w:hAnsiTheme="minorHAnsi"/>
          <w:bCs/>
          <w:sz w:val="20"/>
          <w:szCs w:val="20"/>
        </w:rPr>
      </w:pPr>
      <w:r w:rsidRPr="0017633D">
        <w:rPr>
          <w:rFonts w:asciiTheme="minorHAnsi" w:hAnsiTheme="minorHAnsi"/>
          <w:bCs/>
          <w:sz w:val="20"/>
          <w:szCs w:val="20"/>
        </w:rPr>
        <w:t>The Quality Specification of the Natural Gas to be submitted to the Transporter at the Entry Point (the filled copy of the Quality Specification form for this form given in the Encl.1 of the NOP (minimum and maximum values are to be stated)),</w:t>
      </w:r>
    </w:p>
    <w:p w:rsidR="001B1B68" w:rsidRPr="0017633D" w:rsidRDefault="001B1B68" w:rsidP="001B1B68">
      <w:pPr>
        <w:spacing w:after="0"/>
        <w:ind w:left="360" w:right="23"/>
        <w:jc w:val="both"/>
        <w:rPr>
          <w:rFonts w:asciiTheme="minorHAnsi" w:hAnsiTheme="minorHAnsi"/>
          <w:bCs/>
          <w:sz w:val="20"/>
          <w:szCs w:val="20"/>
        </w:rPr>
      </w:pPr>
    </w:p>
    <w:p w:rsidR="001B1B68" w:rsidRPr="0017633D" w:rsidRDefault="001B1B68" w:rsidP="001B1B68">
      <w:pPr>
        <w:spacing w:after="0"/>
        <w:ind w:right="23"/>
        <w:jc w:val="both"/>
        <w:rPr>
          <w:rFonts w:asciiTheme="minorHAnsi" w:hAnsiTheme="minorHAnsi"/>
          <w:bCs/>
          <w:sz w:val="20"/>
          <w:szCs w:val="20"/>
        </w:rPr>
      </w:pPr>
      <w:r w:rsidRPr="0017633D">
        <w:rPr>
          <w:rFonts w:asciiTheme="minorHAnsi" w:hAnsiTheme="minorHAnsi"/>
          <w:bCs/>
          <w:sz w:val="20"/>
          <w:szCs w:val="20"/>
        </w:rPr>
        <w:t>Below information and documents shall also take part in the information and documents to be submitted by Import License holders:</w:t>
      </w:r>
    </w:p>
    <w:p w:rsidR="001B1B68" w:rsidRPr="0017633D" w:rsidRDefault="001B1B68" w:rsidP="001B1B68">
      <w:pPr>
        <w:numPr>
          <w:ilvl w:val="0"/>
          <w:numId w:val="13"/>
        </w:numPr>
        <w:spacing w:after="0"/>
        <w:ind w:right="23"/>
        <w:jc w:val="both"/>
        <w:rPr>
          <w:rFonts w:asciiTheme="minorHAnsi" w:hAnsiTheme="minorHAnsi"/>
          <w:bCs/>
          <w:sz w:val="20"/>
          <w:szCs w:val="20"/>
        </w:rPr>
      </w:pPr>
      <w:r w:rsidRPr="0017633D">
        <w:rPr>
          <w:rFonts w:asciiTheme="minorHAnsi" w:hAnsiTheme="minorHAnsi"/>
          <w:bCs/>
          <w:sz w:val="20"/>
          <w:szCs w:val="20"/>
        </w:rPr>
        <w:t>Provisions regarding Natural Gas flow in Import Contract concerning the Natural Gas Supply and Contract or Letter of Intent awarded with the Foreign Operator, if any.</w:t>
      </w:r>
    </w:p>
    <w:p w:rsidR="001B1B68" w:rsidRPr="0017633D" w:rsidRDefault="001B1B68" w:rsidP="001B1B68">
      <w:pPr>
        <w:spacing w:after="0"/>
        <w:ind w:left="360" w:right="23"/>
        <w:jc w:val="both"/>
        <w:rPr>
          <w:rFonts w:asciiTheme="minorHAnsi" w:hAnsiTheme="minorHAnsi"/>
          <w:bCs/>
          <w:sz w:val="20"/>
          <w:szCs w:val="20"/>
        </w:rPr>
      </w:pPr>
    </w:p>
    <w:p w:rsidR="001B1B68" w:rsidRPr="0017633D" w:rsidRDefault="001B1B68" w:rsidP="001B1B68">
      <w:pPr>
        <w:spacing w:after="0"/>
        <w:ind w:right="23"/>
        <w:jc w:val="both"/>
        <w:rPr>
          <w:rFonts w:asciiTheme="minorHAnsi" w:hAnsiTheme="minorHAnsi"/>
          <w:bCs/>
          <w:sz w:val="20"/>
          <w:szCs w:val="20"/>
        </w:rPr>
      </w:pPr>
      <w:r w:rsidRPr="0017633D">
        <w:rPr>
          <w:rFonts w:asciiTheme="minorHAnsi" w:hAnsiTheme="minorHAnsi"/>
          <w:bCs/>
          <w:sz w:val="20"/>
          <w:szCs w:val="20"/>
        </w:rPr>
        <w:t xml:space="preserve">The Transporter shall respond to the requests of the applicants, who submit the information and documents mentioned above, within 30 (thirty) days following the application date. If the Transporter rejects the applications, the justification of the rejection shall be conveyed to the applicants. If the application is found to be acceptable, the applicant shall be informed about the procedure to be followed. </w:t>
      </w:r>
    </w:p>
    <w:p w:rsidR="001B1B68" w:rsidRPr="0017633D" w:rsidRDefault="001B1B68" w:rsidP="001B1B68">
      <w:pPr>
        <w:spacing w:after="0"/>
        <w:ind w:right="23"/>
        <w:jc w:val="both"/>
        <w:rPr>
          <w:rFonts w:asciiTheme="minorHAnsi" w:hAnsiTheme="minorHAnsi"/>
          <w:bCs/>
          <w:sz w:val="20"/>
          <w:szCs w:val="20"/>
        </w:rPr>
      </w:pPr>
    </w:p>
    <w:p w:rsidR="001B1B68" w:rsidRPr="0017633D" w:rsidRDefault="001B1B68" w:rsidP="001B1B68">
      <w:pPr>
        <w:tabs>
          <w:tab w:val="left" w:pos="709"/>
        </w:tabs>
        <w:spacing w:after="0"/>
        <w:jc w:val="both"/>
        <w:rPr>
          <w:rFonts w:asciiTheme="minorHAnsi" w:eastAsia="MS Mincho" w:hAnsiTheme="minorHAnsi"/>
          <w:b/>
          <w:bCs/>
          <w:color w:val="000000"/>
          <w:sz w:val="20"/>
          <w:szCs w:val="20"/>
        </w:rPr>
      </w:pPr>
      <w:r w:rsidRPr="0017633D">
        <w:rPr>
          <w:rFonts w:asciiTheme="minorHAnsi" w:eastAsia="MS Mincho" w:hAnsiTheme="minorHAnsi"/>
          <w:b/>
          <w:bCs/>
          <w:color w:val="000000"/>
          <w:sz w:val="20"/>
          <w:szCs w:val="20"/>
        </w:rPr>
        <w:t xml:space="preserve">Certificates </w:t>
      </w:r>
    </w:p>
    <w:p w:rsidR="001B1B68" w:rsidRPr="0017633D" w:rsidRDefault="001B1B68" w:rsidP="001B1B68">
      <w:pPr>
        <w:spacing w:after="0"/>
        <w:ind w:right="23"/>
        <w:jc w:val="both"/>
        <w:rPr>
          <w:rFonts w:asciiTheme="minorHAnsi" w:hAnsiTheme="minorHAnsi"/>
          <w:bCs/>
          <w:sz w:val="20"/>
          <w:szCs w:val="20"/>
        </w:rPr>
      </w:pPr>
      <w:r w:rsidRPr="0017633D">
        <w:rPr>
          <w:rFonts w:asciiTheme="minorHAnsi" w:eastAsia="MS Mincho" w:hAnsiTheme="minorHAnsi"/>
          <w:color w:val="000000"/>
          <w:sz w:val="20"/>
          <w:szCs w:val="20"/>
        </w:rPr>
        <w:t>Any construction or service activity related to natural gas shall not be performed by persons who are not certificate holders</w:t>
      </w:r>
      <w:r w:rsidRPr="0017633D">
        <w:rPr>
          <w:rFonts w:asciiTheme="minorHAnsi" w:hAnsiTheme="minorHAnsi"/>
          <w:sz w:val="20"/>
          <w:szCs w:val="20"/>
        </w:rPr>
        <w:t>.</w:t>
      </w:r>
      <w:r w:rsidRPr="0017633D">
        <w:rPr>
          <w:rFonts w:asciiTheme="minorHAnsi" w:hAnsiTheme="minorHAnsi"/>
          <w:b/>
          <w:bCs/>
          <w:sz w:val="20"/>
          <w:szCs w:val="20"/>
        </w:rPr>
        <w:t xml:space="preserve"> </w:t>
      </w:r>
      <w:r w:rsidRPr="0017633D">
        <w:rPr>
          <w:rFonts w:asciiTheme="minorHAnsi" w:hAnsiTheme="minorHAnsi"/>
          <w:sz w:val="20"/>
          <w:szCs w:val="20"/>
        </w:rPr>
        <w:t>Certificate is the authorization granted by the Board to confirm that any real person or legal entity, who will design, construct, modify, maintain-repair, supervise, provide consultancy and similar services for facilities which are owned by a legal entity engaged in natural gas activities (licensees).</w:t>
      </w: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 xml:space="preserve"> </w:t>
      </w: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lastRenderedPageBreak/>
        <w:t>Electricity Market Law, Petroleum Market Law and LPG Market Law do not contain requirements regarding certificates.</w:t>
      </w:r>
    </w:p>
    <w:p w:rsidR="001B1B68" w:rsidRPr="0017633D" w:rsidRDefault="001B1B68" w:rsidP="001B1B68">
      <w:pPr>
        <w:spacing w:after="0"/>
        <w:ind w:right="23"/>
        <w:jc w:val="both"/>
        <w:rPr>
          <w:rFonts w:asciiTheme="minorHAnsi" w:hAnsiTheme="minorHAnsi"/>
          <w:sz w:val="20"/>
          <w:szCs w:val="20"/>
          <w:u w:val="single"/>
        </w:rPr>
      </w:pP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u w:val="single"/>
        </w:rPr>
        <w:t>Types of Certificates</w:t>
      </w: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ab/>
        <w:t>-</w:t>
      </w:r>
      <w:r w:rsidRPr="0017633D">
        <w:rPr>
          <w:rFonts w:asciiTheme="minorHAnsi" w:eastAsia="MS Mincho" w:hAnsiTheme="minorHAnsi"/>
          <w:color w:val="000000"/>
          <w:sz w:val="20"/>
          <w:szCs w:val="20"/>
        </w:rPr>
        <w:t>Construction and service certificate is the authorization issued by the Board to real persons or legal entities certifying that the real person or legal entity in question is qualified to perform the services of feasibility studies, design, consultancy, control, audit, construction, service, maintenance and repair of the facilities in the natural gas market.</w:t>
      </w:r>
      <w:r w:rsidRPr="0017633D">
        <w:rPr>
          <w:rFonts w:asciiTheme="minorHAnsi" w:hAnsiTheme="minorHAnsi"/>
          <w:sz w:val="20"/>
          <w:szCs w:val="20"/>
        </w:rPr>
        <w:t xml:space="preserve">  </w:t>
      </w:r>
    </w:p>
    <w:p w:rsidR="001B1B68" w:rsidRPr="0017633D" w:rsidRDefault="001B1B68" w:rsidP="001B1B68">
      <w:pPr>
        <w:spacing w:after="0"/>
        <w:ind w:right="23"/>
        <w:jc w:val="both"/>
        <w:rPr>
          <w:rFonts w:asciiTheme="minorHAnsi" w:hAnsiTheme="minorHAnsi"/>
          <w:sz w:val="20"/>
          <w:szCs w:val="20"/>
        </w:rPr>
      </w:pP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ab/>
        <w:t xml:space="preserve">  -</w:t>
      </w:r>
      <w:r w:rsidRPr="0017633D">
        <w:rPr>
          <w:rFonts w:asciiTheme="minorHAnsi" w:eastAsia="MS Mincho" w:hAnsiTheme="minorHAnsi"/>
          <w:color w:val="000000"/>
          <w:sz w:val="20"/>
          <w:szCs w:val="20"/>
        </w:rPr>
        <w:t>Internal installations and service lines certificate is the authorization issued by city distribution companies and by public and private entities holding authorization certificates to real persons and legal entities, certifying that the real person or legal entity in question is qualified to perform the services of consultancy, design, control, construction, audit, maintenance and repair pertaining to service lines and internal installations of city distribution networks.</w:t>
      </w:r>
    </w:p>
    <w:p w:rsidR="001B1B68" w:rsidRPr="0017633D" w:rsidRDefault="001B1B68" w:rsidP="001B1B68">
      <w:pPr>
        <w:spacing w:after="0"/>
        <w:ind w:right="23"/>
        <w:jc w:val="both"/>
        <w:rPr>
          <w:rFonts w:asciiTheme="minorHAnsi" w:hAnsiTheme="minorHAnsi"/>
          <w:sz w:val="20"/>
          <w:szCs w:val="20"/>
        </w:rPr>
      </w:pPr>
    </w:p>
    <w:p w:rsidR="001B1B68" w:rsidRPr="0017633D" w:rsidRDefault="001B1B68" w:rsidP="001B1B68">
      <w:pPr>
        <w:spacing w:after="0"/>
        <w:ind w:right="23"/>
        <w:jc w:val="both"/>
        <w:rPr>
          <w:rFonts w:asciiTheme="minorHAnsi" w:hAnsiTheme="minorHAnsi"/>
          <w:sz w:val="20"/>
          <w:szCs w:val="20"/>
        </w:rPr>
      </w:pPr>
      <w:r w:rsidRPr="0017633D">
        <w:rPr>
          <w:rFonts w:asciiTheme="minorHAnsi" w:hAnsiTheme="minorHAnsi"/>
          <w:sz w:val="20"/>
          <w:szCs w:val="20"/>
        </w:rPr>
        <w:t xml:space="preserve">If real or legal persons are willing to perform activities in more than one distribution zone, they must grant </w:t>
      </w:r>
      <w:r w:rsidRPr="0017633D">
        <w:rPr>
          <w:rFonts w:asciiTheme="minorHAnsi" w:eastAsia="MS Mincho" w:hAnsiTheme="minorHAnsi"/>
          <w:color w:val="000000"/>
          <w:sz w:val="20"/>
          <w:szCs w:val="20"/>
        </w:rPr>
        <w:t xml:space="preserve">internal installations and service lines certificate for each distribution zone. The process regarding issuance of </w:t>
      </w:r>
      <w:r w:rsidRPr="0017633D">
        <w:rPr>
          <w:rFonts w:asciiTheme="minorHAnsi" w:hAnsiTheme="minorHAnsi"/>
          <w:sz w:val="20"/>
          <w:szCs w:val="20"/>
        </w:rPr>
        <w:t>authorization certificate by public and private firms enabling them to issue internal installations and service lines certificates is postponed until 2009.</w:t>
      </w:r>
    </w:p>
    <w:p w:rsidR="001B1B68" w:rsidRPr="0017633D" w:rsidRDefault="001B1B68" w:rsidP="001B1B68">
      <w:pPr>
        <w:spacing w:after="0"/>
        <w:ind w:right="23"/>
        <w:jc w:val="both"/>
        <w:rPr>
          <w:rFonts w:asciiTheme="minorHAnsi" w:hAnsiTheme="minorHAnsi"/>
          <w:sz w:val="20"/>
          <w:szCs w:val="20"/>
        </w:rPr>
      </w:pPr>
    </w:p>
    <w:p w:rsidR="001B1B68" w:rsidRPr="0017633D" w:rsidRDefault="001B1B68" w:rsidP="001B1B68">
      <w:pPr>
        <w:spacing w:after="0"/>
        <w:ind w:right="23"/>
        <w:jc w:val="both"/>
        <w:rPr>
          <w:rFonts w:asciiTheme="minorHAnsi" w:hAnsiTheme="minorHAnsi"/>
          <w:sz w:val="20"/>
          <w:szCs w:val="20"/>
          <w:u w:val="single"/>
        </w:rPr>
      </w:pPr>
      <w:r w:rsidRPr="0017633D">
        <w:rPr>
          <w:rFonts w:asciiTheme="minorHAnsi" w:eastAsia="MS Mincho" w:hAnsiTheme="minorHAnsi"/>
          <w:color w:val="000000"/>
          <w:sz w:val="20"/>
          <w:szCs w:val="20"/>
        </w:rPr>
        <w:t>Certificates shall be issued to be valid for a minimum period of ten, a maximum period of thirty years. In practice, it is granted for ten years.</w:t>
      </w:r>
      <w:r w:rsidRPr="0017633D">
        <w:rPr>
          <w:rFonts w:asciiTheme="minorHAnsi" w:hAnsiTheme="minorHAnsi"/>
          <w:sz w:val="20"/>
          <w:szCs w:val="20"/>
          <w:u w:val="single"/>
        </w:rPr>
        <w:t xml:space="preserve"> </w:t>
      </w:r>
    </w:p>
    <w:p w:rsidR="001B1B68" w:rsidRPr="0017633D" w:rsidRDefault="001B1B68" w:rsidP="001B1B68">
      <w:pPr>
        <w:spacing w:after="0"/>
        <w:ind w:right="23"/>
        <w:jc w:val="both"/>
        <w:rPr>
          <w:rFonts w:asciiTheme="minorHAnsi" w:hAnsiTheme="minorHAnsi"/>
          <w:sz w:val="20"/>
          <w:szCs w:val="20"/>
          <w:u w:val="single"/>
        </w:rPr>
      </w:pPr>
    </w:p>
    <w:p w:rsidR="001B1B68" w:rsidRPr="0017633D" w:rsidRDefault="001B1B68" w:rsidP="001B1B68">
      <w:pPr>
        <w:spacing w:after="0"/>
        <w:ind w:right="23"/>
        <w:jc w:val="both"/>
        <w:rPr>
          <w:rFonts w:asciiTheme="minorHAnsi" w:eastAsia="MS Mincho" w:hAnsiTheme="minorHAnsi"/>
          <w:sz w:val="20"/>
          <w:szCs w:val="20"/>
          <w:u w:val="single"/>
        </w:rPr>
      </w:pPr>
      <w:r w:rsidRPr="0017633D">
        <w:rPr>
          <w:rFonts w:asciiTheme="minorHAnsi" w:eastAsia="MS Mincho" w:hAnsiTheme="minorHAnsi"/>
          <w:sz w:val="20"/>
          <w:szCs w:val="20"/>
          <w:u w:val="single"/>
        </w:rPr>
        <w:t>Certificate Process</w:t>
      </w:r>
    </w:p>
    <w:p w:rsidR="001B1B68" w:rsidRPr="0017633D" w:rsidRDefault="001B1B68" w:rsidP="001B1B68">
      <w:pPr>
        <w:spacing w:after="0"/>
        <w:ind w:right="23"/>
        <w:jc w:val="both"/>
        <w:rPr>
          <w:rFonts w:asciiTheme="minorHAnsi" w:eastAsia="MS Mincho" w:hAnsiTheme="minorHAnsi"/>
          <w:color w:val="FF0000"/>
          <w:sz w:val="20"/>
          <w:szCs w:val="20"/>
        </w:rPr>
      </w:pPr>
      <w:r w:rsidRPr="0017633D">
        <w:rPr>
          <w:rFonts w:asciiTheme="minorHAnsi" w:eastAsia="MS Mincho" w:hAnsiTheme="minorHAnsi"/>
          <w:sz w:val="20"/>
          <w:szCs w:val="20"/>
        </w:rPr>
        <w:t>Certificate application, certificate fees, the firms which obtained</w:t>
      </w:r>
      <w:r w:rsidRPr="0017633D">
        <w:rPr>
          <w:rFonts w:asciiTheme="minorHAnsi" w:eastAsia="MS Mincho" w:hAnsiTheme="minorHAnsi"/>
          <w:color w:val="FF0000"/>
          <w:sz w:val="20"/>
          <w:szCs w:val="20"/>
        </w:rPr>
        <w:t xml:space="preserve"> </w:t>
      </w:r>
      <w:r w:rsidRPr="0017633D">
        <w:rPr>
          <w:rFonts w:asciiTheme="minorHAnsi" w:eastAsia="MS Mincho" w:hAnsiTheme="minorHAnsi"/>
          <w:color w:val="000000"/>
          <w:sz w:val="20"/>
          <w:szCs w:val="20"/>
        </w:rPr>
        <w:t xml:space="preserve">construction and service certificate, </w:t>
      </w:r>
      <w:r w:rsidRPr="0017633D">
        <w:rPr>
          <w:rFonts w:asciiTheme="minorHAnsi" w:eastAsia="MS Mincho" w:hAnsiTheme="minorHAnsi"/>
          <w:sz w:val="20"/>
          <w:szCs w:val="20"/>
        </w:rPr>
        <w:t xml:space="preserve">the firms whose certificates are terminated, relevant regulations, </w:t>
      </w:r>
      <w:r w:rsidRPr="0017633D">
        <w:rPr>
          <w:rFonts w:asciiTheme="minorHAnsi" w:eastAsia="MS Mincho" w:hAnsiTheme="minorHAnsi"/>
          <w:color w:val="FF0000"/>
          <w:sz w:val="20"/>
          <w:szCs w:val="20"/>
        </w:rPr>
        <w:t xml:space="preserve"> </w:t>
      </w:r>
      <w:r w:rsidRPr="0017633D">
        <w:rPr>
          <w:rFonts w:asciiTheme="minorHAnsi" w:eastAsia="MS Mincho" w:hAnsiTheme="minorHAnsi"/>
          <w:sz w:val="20"/>
          <w:szCs w:val="20"/>
        </w:rPr>
        <w:t xml:space="preserve"> participation fee announcement, </w:t>
      </w:r>
      <w:r w:rsidRPr="0017633D">
        <w:rPr>
          <w:rFonts w:asciiTheme="minorHAnsi" w:hAnsiTheme="minorHAnsi"/>
          <w:sz w:val="20"/>
          <w:szCs w:val="20"/>
        </w:rPr>
        <w:t xml:space="preserve">copy of </w:t>
      </w:r>
      <w:r w:rsidRPr="0017633D">
        <w:rPr>
          <w:rFonts w:asciiTheme="minorHAnsi" w:eastAsia="MS Mincho" w:hAnsiTheme="minorHAnsi"/>
          <w:color w:val="000000"/>
          <w:sz w:val="20"/>
          <w:szCs w:val="20"/>
        </w:rPr>
        <w:t>internal installations and service lines certificate</w:t>
      </w:r>
      <w:r w:rsidRPr="0017633D">
        <w:rPr>
          <w:rFonts w:asciiTheme="minorHAnsi" w:eastAsia="MS Mincho" w:hAnsiTheme="minorHAnsi"/>
          <w:color w:val="FF0000"/>
          <w:sz w:val="20"/>
          <w:szCs w:val="20"/>
        </w:rPr>
        <w:t xml:space="preserve">, </w:t>
      </w:r>
      <w:r w:rsidRPr="0017633D">
        <w:rPr>
          <w:rFonts w:asciiTheme="minorHAnsi" w:eastAsia="MS Mincho" w:hAnsiTheme="minorHAnsi"/>
          <w:sz w:val="20"/>
          <w:szCs w:val="20"/>
        </w:rPr>
        <w:t>copy of the petition for termination of the certificate and copy of the petition for visa are on EMRA website (</w:t>
      </w:r>
      <w:hyperlink r:id="rId15" w:history="1">
        <w:r w:rsidRPr="0017633D">
          <w:rPr>
            <w:rStyle w:val="Hyperlink"/>
            <w:rFonts w:asciiTheme="minorHAnsi" w:eastAsia="MS Mincho" w:hAnsiTheme="minorHAnsi"/>
            <w:sz w:val="20"/>
            <w:szCs w:val="20"/>
          </w:rPr>
          <w:t>www.emra.org.tr</w:t>
        </w:r>
      </w:hyperlink>
      <w:r w:rsidRPr="0017633D">
        <w:rPr>
          <w:rFonts w:asciiTheme="minorHAnsi" w:eastAsia="MS Mincho" w:hAnsiTheme="minorHAnsi"/>
          <w:sz w:val="20"/>
          <w:szCs w:val="20"/>
        </w:rPr>
        <w:t>) in the “certificate procedure” section.</w:t>
      </w:r>
    </w:p>
    <w:p w:rsidR="001B1B68" w:rsidRPr="0017633D" w:rsidRDefault="001B1B68" w:rsidP="001B1B68">
      <w:pPr>
        <w:spacing w:after="0"/>
        <w:ind w:right="23"/>
        <w:jc w:val="both"/>
        <w:rPr>
          <w:rFonts w:asciiTheme="minorHAnsi" w:eastAsia="MS Mincho" w:hAnsiTheme="minorHAnsi"/>
          <w:color w:val="FF0000"/>
          <w:sz w:val="20"/>
          <w:szCs w:val="20"/>
        </w:rPr>
      </w:pPr>
    </w:p>
    <w:p w:rsidR="001B1B68" w:rsidRPr="0017633D" w:rsidRDefault="001B1B68" w:rsidP="001B1B68">
      <w:p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Real or legal persons shall apply to EMRA with necessary information and documents in order to obtain construction and service certificate and in order to obtain internal installations and service lines certificates they shall apply to distribution license holder.</w:t>
      </w:r>
    </w:p>
    <w:p w:rsidR="001B1B68" w:rsidRPr="0017633D" w:rsidRDefault="001B1B68" w:rsidP="001B1B68">
      <w:pPr>
        <w:spacing w:after="0"/>
        <w:ind w:right="23"/>
        <w:jc w:val="both"/>
        <w:rPr>
          <w:rFonts w:asciiTheme="minorHAnsi" w:eastAsia="MS Mincho" w:hAnsiTheme="minorHAnsi"/>
          <w:color w:val="FF0000"/>
          <w:sz w:val="20"/>
          <w:szCs w:val="20"/>
        </w:rPr>
      </w:pPr>
      <w:r w:rsidRPr="0017633D">
        <w:rPr>
          <w:rFonts w:asciiTheme="minorHAnsi" w:eastAsia="MS Mincho" w:hAnsiTheme="minorHAnsi"/>
          <w:color w:val="FF0000"/>
          <w:sz w:val="20"/>
          <w:szCs w:val="20"/>
        </w:rPr>
        <w:tab/>
      </w:r>
    </w:p>
    <w:p w:rsidR="001B1B68" w:rsidRPr="0017633D" w:rsidRDefault="001B1B68" w:rsidP="001B1B68">
      <w:pPr>
        <w:spacing w:after="0"/>
        <w:ind w:right="23"/>
        <w:jc w:val="both"/>
        <w:rPr>
          <w:rFonts w:asciiTheme="minorHAnsi" w:eastAsia="MS Mincho" w:hAnsiTheme="minorHAnsi"/>
          <w:color w:val="FF0000"/>
          <w:sz w:val="20"/>
          <w:szCs w:val="20"/>
        </w:rPr>
      </w:pPr>
      <w:r w:rsidRPr="0017633D">
        <w:rPr>
          <w:rFonts w:asciiTheme="minorHAnsi" w:eastAsia="MS Mincho" w:hAnsiTheme="minorHAnsi"/>
          <w:color w:val="000000"/>
          <w:sz w:val="20"/>
          <w:szCs w:val="20"/>
        </w:rPr>
        <w:t>In the application for the Constructi</w:t>
      </w:r>
      <w:r w:rsidRPr="0017633D">
        <w:rPr>
          <w:rFonts w:asciiTheme="minorHAnsi" w:eastAsia="MS Mincho" w:hAnsiTheme="minorHAnsi"/>
          <w:sz w:val="20"/>
          <w:szCs w:val="20"/>
        </w:rPr>
        <w:t>on and service certificate for each category at least one certificate of higher education is submitted. The owner of the company or the shareholder may submit his/her higher education certificate for the relevant categories.</w:t>
      </w:r>
      <w:r w:rsidRPr="0017633D">
        <w:rPr>
          <w:rFonts w:asciiTheme="minorHAnsi" w:eastAsia="MS Mincho" w:hAnsiTheme="minorHAnsi"/>
          <w:color w:val="FF0000"/>
          <w:sz w:val="20"/>
          <w:szCs w:val="20"/>
        </w:rPr>
        <w:t xml:space="preserve"> </w:t>
      </w:r>
      <w:r w:rsidRPr="0017633D">
        <w:rPr>
          <w:rFonts w:asciiTheme="minorHAnsi" w:eastAsia="MS Mincho" w:hAnsiTheme="minorHAnsi"/>
          <w:sz w:val="20"/>
          <w:szCs w:val="20"/>
        </w:rPr>
        <w:t>For internal installations and service line certificate application, besides the mechanical engineer holding competent engineer certificate, for the relevant field of activity; Certificate for Internal Piping Master, Welder Master Certificate, PE Welder Master Certificate (for PE pipes) are submitted.</w:t>
      </w:r>
    </w:p>
    <w:p w:rsidR="001B1B68" w:rsidRPr="0017633D" w:rsidRDefault="001B1B68" w:rsidP="001B1B68">
      <w:pPr>
        <w:tabs>
          <w:tab w:val="left" w:pos="709"/>
        </w:tabs>
        <w:spacing w:after="0"/>
        <w:jc w:val="both"/>
        <w:rPr>
          <w:rFonts w:asciiTheme="minorHAnsi" w:eastAsia="MS Mincho" w:hAnsiTheme="minorHAnsi"/>
          <w:color w:val="000000"/>
          <w:sz w:val="20"/>
          <w:szCs w:val="20"/>
        </w:rPr>
      </w:pPr>
    </w:p>
    <w:p w:rsidR="001B1B68" w:rsidRPr="0017633D" w:rsidRDefault="001B1B68" w:rsidP="001B1B68">
      <w:pPr>
        <w:tabs>
          <w:tab w:val="left" w:pos="709"/>
        </w:tabs>
        <w:spacing w:after="0"/>
        <w:jc w:val="both"/>
        <w:rPr>
          <w:rFonts w:asciiTheme="minorHAnsi" w:eastAsia="MS Mincho" w:hAnsiTheme="minorHAnsi"/>
          <w:color w:val="000000"/>
          <w:sz w:val="20"/>
          <w:szCs w:val="20"/>
        </w:rPr>
      </w:pPr>
      <w:r w:rsidRPr="0017633D">
        <w:rPr>
          <w:rFonts w:asciiTheme="minorHAnsi" w:eastAsia="MS Mincho" w:hAnsiTheme="minorHAnsi"/>
          <w:color w:val="000000"/>
          <w:sz w:val="20"/>
          <w:szCs w:val="20"/>
        </w:rPr>
        <w:t>Certificate applications which are understood to be not duly filed in accordance with the relevant legislation shall be deemed as not filed and the application documents shall be returned to the applicant, unless the errors are corrected or the missing issues are completed within thirty days as of the date of the relevant written notification.</w:t>
      </w:r>
      <w:r w:rsidRPr="0017633D">
        <w:rPr>
          <w:rFonts w:asciiTheme="minorHAnsi" w:hAnsiTheme="minorHAnsi"/>
          <w:sz w:val="20"/>
          <w:szCs w:val="20"/>
        </w:rPr>
        <w:t xml:space="preserve"> </w:t>
      </w:r>
      <w:r w:rsidRPr="0017633D">
        <w:rPr>
          <w:rFonts w:asciiTheme="minorHAnsi" w:eastAsia="MS Mincho" w:hAnsiTheme="minorHAnsi"/>
          <w:color w:val="000000"/>
          <w:sz w:val="20"/>
          <w:szCs w:val="20"/>
        </w:rPr>
        <w:t>Certificate applications shall be responded within sixty days. If it is deemed appropriate to issue a certificate, such certificate shall be issued upon payment of the initial certificate fee to the Authority. If the initial certificate fee is not deposited in the account of the Authority within thirty days as of the date of notification, such application shall be deemed as not been filed.</w:t>
      </w:r>
    </w:p>
    <w:p w:rsidR="001B1B68" w:rsidRPr="0017633D" w:rsidRDefault="001B1B68" w:rsidP="001B1B68">
      <w:pPr>
        <w:tabs>
          <w:tab w:val="left" w:pos="709"/>
        </w:tabs>
        <w:spacing w:after="0"/>
        <w:jc w:val="both"/>
        <w:rPr>
          <w:rFonts w:asciiTheme="minorHAnsi" w:eastAsia="MS Mincho" w:hAnsiTheme="minorHAnsi"/>
          <w:sz w:val="20"/>
          <w:szCs w:val="20"/>
        </w:rPr>
      </w:pPr>
    </w:p>
    <w:p w:rsidR="001B1B68" w:rsidRPr="0017633D" w:rsidRDefault="001B1B68" w:rsidP="001B1B68">
      <w:pPr>
        <w:spacing w:after="0"/>
        <w:ind w:right="23"/>
        <w:jc w:val="both"/>
        <w:rPr>
          <w:rFonts w:asciiTheme="minorHAnsi" w:eastAsia="MS Mincho" w:hAnsiTheme="minorHAnsi"/>
          <w:bCs/>
          <w:sz w:val="20"/>
          <w:szCs w:val="20"/>
          <w:u w:val="single"/>
        </w:rPr>
      </w:pPr>
      <w:r w:rsidRPr="0017633D">
        <w:rPr>
          <w:rFonts w:asciiTheme="minorHAnsi" w:eastAsia="MS Mincho" w:hAnsiTheme="minorHAnsi"/>
          <w:bCs/>
          <w:sz w:val="20"/>
          <w:szCs w:val="20"/>
          <w:u w:val="single"/>
        </w:rPr>
        <w:t xml:space="preserve">Certificate and Participation Fee </w:t>
      </w:r>
    </w:p>
    <w:p w:rsidR="001B1B68" w:rsidRPr="0017633D" w:rsidRDefault="001B1B68" w:rsidP="001B1B68">
      <w:p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The fees for certificate, renewal, modification</w:t>
      </w:r>
      <w:proofErr w:type="gramStart"/>
      <w:r w:rsidRPr="0017633D">
        <w:rPr>
          <w:rFonts w:asciiTheme="minorHAnsi" w:eastAsia="MS Mincho" w:hAnsiTheme="minorHAnsi"/>
          <w:sz w:val="20"/>
          <w:szCs w:val="20"/>
        </w:rPr>
        <w:t>,  copy</w:t>
      </w:r>
      <w:proofErr w:type="gramEnd"/>
      <w:r w:rsidRPr="0017633D">
        <w:rPr>
          <w:rFonts w:asciiTheme="minorHAnsi" w:eastAsia="MS Mincho" w:hAnsiTheme="minorHAnsi"/>
          <w:sz w:val="20"/>
          <w:szCs w:val="20"/>
        </w:rPr>
        <w:t xml:space="preserve"> and certificate visa are determined by the Board until the end of December and published in the Official Gazette and on the website of the Authority. The fees for certificate, renewal, modification, </w:t>
      </w:r>
      <w:proofErr w:type="gramStart"/>
      <w:r w:rsidRPr="0017633D">
        <w:rPr>
          <w:rFonts w:asciiTheme="minorHAnsi" w:eastAsia="MS Mincho" w:hAnsiTheme="minorHAnsi"/>
          <w:sz w:val="20"/>
          <w:szCs w:val="20"/>
        </w:rPr>
        <w:t>copy</w:t>
      </w:r>
      <w:proofErr w:type="gramEnd"/>
      <w:r w:rsidRPr="0017633D">
        <w:rPr>
          <w:rFonts w:asciiTheme="minorHAnsi" w:eastAsia="MS Mincho" w:hAnsiTheme="minorHAnsi"/>
          <w:sz w:val="20"/>
          <w:szCs w:val="20"/>
        </w:rPr>
        <w:t xml:space="preserve"> and certificate visa are to be paid in cash.</w:t>
      </w:r>
    </w:p>
    <w:p w:rsidR="001B1B68" w:rsidRPr="0017633D" w:rsidRDefault="001B1B68" w:rsidP="001B1B68">
      <w:pPr>
        <w:spacing w:after="0"/>
        <w:ind w:right="23"/>
        <w:jc w:val="both"/>
        <w:rPr>
          <w:rFonts w:asciiTheme="minorHAnsi" w:eastAsia="MS Mincho" w:hAnsiTheme="minorHAnsi"/>
          <w:color w:val="FF0000"/>
          <w:sz w:val="20"/>
          <w:szCs w:val="20"/>
        </w:rPr>
      </w:pPr>
    </w:p>
    <w:p w:rsidR="001B1B68" w:rsidRPr="0017633D" w:rsidRDefault="001B1B68" w:rsidP="001B1B68">
      <w:pPr>
        <w:spacing w:after="0"/>
        <w:ind w:right="23"/>
        <w:jc w:val="both"/>
        <w:rPr>
          <w:rFonts w:asciiTheme="minorHAnsi" w:eastAsia="MS Mincho" w:hAnsiTheme="minorHAnsi"/>
          <w:b/>
          <w:sz w:val="20"/>
          <w:szCs w:val="20"/>
        </w:rPr>
      </w:pPr>
      <w:r w:rsidRPr="0017633D">
        <w:rPr>
          <w:rFonts w:asciiTheme="minorHAnsi" w:hAnsiTheme="minorHAnsi"/>
          <w:sz w:val="20"/>
          <w:szCs w:val="20"/>
        </w:rPr>
        <w:lastRenderedPageBreak/>
        <w:t>The legal entities holding licenses and certificates are liable to pay participation fee. The participation fee is calculated by multiplying the net sales revenue amount in income tables to be prepared with respect to the annual activity periods of the said payers, with the participation fee to be determined by the Board, provided that such rate does not exceed 0.2 %.</w:t>
      </w:r>
      <w:r w:rsidRPr="0017633D">
        <w:rPr>
          <w:rFonts w:asciiTheme="minorHAnsi" w:eastAsia="MS Mincho" w:hAnsiTheme="minorHAnsi"/>
          <w:color w:val="FF0000"/>
          <w:sz w:val="20"/>
          <w:szCs w:val="20"/>
        </w:rPr>
        <w:t xml:space="preserve">  </w:t>
      </w:r>
      <w:r w:rsidRPr="0017633D">
        <w:rPr>
          <w:rFonts w:asciiTheme="minorHAnsi" w:eastAsia="MS Mincho" w:hAnsiTheme="minorHAnsi"/>
          <w:sz w:val="20"/>
          <w:szCs w:val="20"/>
        </w:rPr>
        <w:t>Participation</w:t>
      </w:r>
      <w:r w:rsidRPr="0017633D">
        <w:rPr>
          <w:rFonts w:asciiTheme="minorHAnsi" w:hAnsiTheme="minorHAnsi"/>
          <w:sz w:val="20"/>
          <w:szCs w:val="20"/>
        </w:rPr>
        <w:t xml:space="preserve"> fee</w:t>
      </w:r>
      <w:r w:rsidRPr="0017633D">
        <w:rPr>
          <w:rFonts w:asciiTheme="minorHAnsi" w:eastAsia="MS Mincho" w:hAnsiTheme="minorHAnsi"/>
          <w:sz w:val="20"/>
          <w:szCs w:val="20"/>
        </w:rPr>
        <w:t>, between the years 2004-2007 is determined to be as 0 (zero).</w:t>
      </w:r>
      <w:r w:rsidRPr="0017633D">
        <w:rPr>
          <w:rFonts w:asciiTheme="minorHAnsi" w:eastAsia="MS Mincho" w:hAnsiTheme="minorHAnsi"/>
          <w:b/>
          <w:sz w:val="20"/>
          <w:szCs w:val="20"/>
        </w:rPr>
        <w:t xml:space="preserve"> </w:t>
      </w:r>
    </w:p>
    <w:p w:rsidR="001B1B68" w:rsidRPr="0017633D" w:rsidRDefault="001B1B68" w:rsidP="001B1B68">
      <w:pPr>
        <w:spacing w:after="0"/>
        <w:ind w:right="23"/>
        <w:jc w:val="both"/>
        <w:rPr>
          <w:rFonts w:asciiTheme="minorHAnsi" w:eastAsia="MS Mincho" w:hAnsiTheme="minorHAnsi"/>
          <w:b/>
          <w:sz w:val="20"/>
          <w:szCs w:val="20"/>
        </w:rPr>
      </w:pPr>
    </w:p>
    <w:p w:rsidR="001B1B68" w:rsidRPr="0017633D" w:rsidRDefault="001B1B68" w:rsidP="001B1B68">
      <w:pPr>
        <w:spacing w:after="0"/>
        <w:ind w:right="23"/>
        <w:jc w:val="both"/>
        <w:rPr>
          <w:rFonts w:asciiTheme="minorHAnsi" w:eastAsia="MS Mincho" w:hAnsiTheme="minorHAnsi"/>
          <w:sz w:val="20"/>
          <w:szCs w:val="20"/>
          <w:u w:val="single"/>
        </w:rPr>
      </w:pPr>
      <w:r w:rsidRPr="0017633D">
        <w:rPr>
          <w:rFonts w:asciiTheme="minorHAnsi" w:eastAsia="MS Mincho" w:hAnsiTheme="minorHAnsi"/>
          <w:sz w:val="20"/>
          <w:szCs w:val="20"/>
          <w:u w:val="single"/>
        </w:rPr>
        <w:t>General Provisions Concerning Certificates</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hAnsiTheme="minorHAnsi"/>
          <w:sz w:val="20"/>
          <w:szCs w:val="20"/>
        </w:rPr>
        <w:t>Starting from the effective date stated in each certificate starting construction and service line certificate holders shall apply for visa in every three years and internal installations and service line certificate holders shall apply for visa in every one year.</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hAnsiTheme="minorHAnsi"/>
          <w:sz w:val="20"/>
          <w:szCs w:val="20"/>
        </w:rPr>
        <w:t>Certificates may be amended, without any fee where required according to the implementations within the scope of relevant legislation or with the relevant fee upon the request (</w:t>
      </w:r>
      <w:r w:rsidRPr="0017633D">
        <w:rPr>
          <w:rFonts w:asciiTheme="minorHAnsi" w:eastAsia="MS Mincho" w:hAnsiTheme="minorHAnsi"/>
          <w:sz w:val="20"/>
          <w:szCs w:val="20"/>
        </w:rPr>
        <w:t xml:space="preserve">change of title, field of activity and addition or exclusion of categories) </w:t>
      </w:r>
      <w:r w:rsidRPr="0017633D">
        <w:rPr>
          <w:rFonts w:asciiTheme="minorHAnsi" w:hAnsiTheme="minorHAnsi"/>
          <w:sz w:val="20"/>
          <w:szCs w:val="20"/>
        </w:rPr>
        <w:t>of the relevant certificate holder.</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 xml:space="preserve"> Certificates may be renewed to be valid for a minimum period of ten, a maximum period of thirty years as of the expiry date thereof, upon the request of the relevant certificate holder.</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hAnsiTheme="minorHAnsi"/>
          <w:sz w:val="20"/>
          <w:szCs w:val="20"/>
        </w:rPr>
        <w:t>Certificates shall expire at the end of their respective terms or upon bankruptcy of the relevant certificate holder. Certificates shall terminate, subject to Board approval, in cases where the relevant certificate holder wishes to return the certificate.</w:t>
      </w:r>
      <w:r w:rsidRPr="0017633D">
        <w:rPr>
          <w:rFonts w:asciiTheme="minorHAnsi" w:eastAsia="MS Mincho" w:hAnsiTheme="minorHAnsi"/>
          <w:sz w:val="20"/>
          <w:szCs w:val="20"/>
        </w:rPr>
        <w:t xml:space="preserve"> </w:t>
      </w:r>
      <w:r w:rsidRPr="0017633D">
        <w:rPr>
          <w:rFonts w:asciiTheme="minorHAnsi" w:hAnsiTheme="minorHAnsi"/>
          <w:sz w:val="20"/>
          <w:szCs w:val="20"/>
        </w:rPr>
        <w:t>In cases where a certificate holder wishes to stop performing the activities within the scope of his certificate, such certificate holder shall be obligated to file a written application, at least ninety days in advance of the requested termination date. Such applications shall include also the reasons of the request. Construction and service certificate holders shall file such applications with the Authority, whereas internal installations and service line certificate holders shall file such applications with the companies from which they had obtained their respective certificates.</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In the event of a change of the address for correspondence which was indicated in the application, the certificate holders must inform the Authority via notary three days prior to the change of the address. In case this notification is not made in due time the official communications to the previous address are deemed valid.</w:t>
      </w:r>
    </w:p>
    <w:p w:rsidR="001B1B68" w:rsidRPr="00606D1D" w:rsidRDefault="001B1B68" w:rsidP="001B1B68">
      <w:pPr>
        <w:numPr>
          <w:ilvl w:val="0"/>
          <w:numId w:val="9"/>
        </w:numPr>
        <w:spacing w:after="0"/>
        <w:ind w:right="23"/>
        <w:jc w:val="both"/>
        <w:rPr>
          <w:rFonts w:asciiTheme="minorHAnsi" w:eastAsia="MS Mincho" w:hAnsiTheme="minorHAnsi"/>
          <w:sz w:val="20"/>
          <w:szCs w:val="20"/>
        </w:rPr>
      </w:pPr>
      <w:r w:rsidRPr="00606D1D">
        <w:rPr>
          <w:rFonts w:asciiTheme="minorHAnsi" w:eastAsia="MS Mincho" w:hAnsiTheme="minorHAnsi"/>
          <w:sz w:val="20"/>
          <w:szCs w:val="20"/>
        </w:rPr>
        <w:t xml:space="preserve">The real or legal persons holding a construction and service certificate can be audited by EMRA or EMRA can have them audited. The real or legal persons holding internal installations and service lines certificate can be audited by distribution companies, or the companies with authorization certificate, from which they obtained their certificates. </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In the event that real or legal persons that are certificate holders infringe the relevant legislation, based on the quality of the act, the penalties foreseen in Article 9 are to be applied.</w:t>
      </w:r>
    </w:p>
    <w:p w:rsidR="001B1B68" w:rsidRPr="0017633D" w:rsidRDefault="001B1B68" w:rsidP="001B1B68">
      <w:pPr>
        <w:numPr>
          <w:ilvl w:val="0"/>
          <w:numId w:val="9"/>
        </w:numPr>
        <w:spacing w:after="0"/>
        <w:ind w:right="23"/>
        <w:jc w:val="both"/>
        <w:rPr>
          <w:rFonts w:asciiTheme="minorHAnsi" w:eastAsia="MS Mincho" w:hAnsiTheme="minorHAnsi"/>
          <w:sz w:val="20"/>
          <w:szCs w:val="20"/>
        </w:rPr>
      </w:pPr>
      <w:r w:rsidRPr="0017633D">
        <w:rPr>
          <w:rFonts w:asciiTheme="minorHAnsi" w:eastAsia="MS Mincho" w:hAnsiTheme="minorHAnsi"/>
          <w:sz w:val="20"/>
          <w:szCs w:val="20"/>
        </w:rPr>
        <w:t xml:space="preserve">Certificate holders cannot transfer their certificate or cannot make other parties make use of it.   </w:t>
      </w:r>
    </w:p>
    <w:p w:rsidR="00922BFE" w:rsidRPr="0017633D" w:rsidRDefault="00922BFE" w:rsidP="00CE0266">
      <w:pPr>
        <w:tabs>
          <w:tab w:val="left" w:pos="3877"/>
        </w:tabs>
        <w:spacing w:after="0"/>
        <w:rPr>
          <w:rFonts w:asciiTheme="minorHAnsi" w:hAnsiTheme="minorHAnsi" w:cs="CenturyGothic"/>
          <w:sz w:val="20"/>
          <w:szCs w:val="20"/>
          <w:lang w:eastAsia="tr-TR"/>
        </w:rPr>
      </w:pPr>
    </w:p>
    <w:p w:rsidR="0041328B" w:rsidRDefault="0041328B" w:rsidP="00CE0266">
      <w:pPr>
        <w:tabs>
          <w:tab w:val="left" w:pos="3877"/>
        </w:tabs>
        <w:spacing w:after="0"/>
        <w:rPr>
          <w:rFonts w:cs="CenturyGothic"/>
          <w:sz w:val="20"/>
          <w:szCs w:val="20"/>
          <w:lang w:eastAsia="tr-TR"/>
        </w:rPr>
      </w:pPr>
    </w:p>
    <w:p w:rsidR="0041328B" w:rsidRPr="00B07679" w:rsidRDefault="0041328B" w:rsidP="0041328B">
      <w:pPr>
        <w:autoSpaceDE w:val="0"/>
        <w:autoSpaceDN w:val="0"/>
        <w:adjustRightInd w:val="0"/>
        <w:spacing w:after="0"/>
        <w:rPr>
          <w:rFonts w:cs="CenturyGothic"/>
          <w:b/>
          <w:sz w:val="20"/>
          <w:szCs w:val="20"/>
          <w:lang w:val="tr-TR" w:eastAsia="tr-TR"/>
        </w:rPr>
      </w:pPr>
      <w:r w:rsidRPr="00B07679">
        <w:rPr>
          <w:rFonts w:cs="CenturyGothic"/>
          <w:b/>
          <w:sz w:val="20"/>
          <w:szCs w:val="20"/>
          <w:lang w:val="tr-TR" w:eastAsia="tr-TR"/>
        </w:rPr>
        <w:t>Useful Links:</w:t>
      </w:r>
    </w:p>
    <w:p w:rsidR="0041328B" w:rsidRDefault="0041328B" w:rsidP="0041328B">
      <w:pPr>
        <w:autoSpaceDE w:val="0"/>
        <w:autoSpaceDN w:val="0"/>
        <w:adjustRightInd w:val="0"/>
        <w:spacing w:after="0"/>
        <w:rPr>
          <w:rFonts w:cs="CenturyGothic"/>
          <w:sz w:val="20"/>
          <w:szCs w:val="20"/>
          <w:lang w:val="tr-TR" w:eastAsia="tr-TR"/>
        </w:rPr>
      </w:pPr>
      <w:r>
        <w:rPr>
          <w:rFonts w:cs="CenturyGothic"/>
          <w:sz w:val="20"/>
          <w:szCs w:val="20"/>
          <w:lang w:val="tr-TR" w:eastAsia="tr-TR"/>
        </w:rPr>
        <w:t xml:space="preserve">Investment Support and Promotion Agency of Turkey: </w:t>
      </w:r>
      <w:hyperlink r:id="rId16" w:history="1">
        <w:r w:rsidRPr="00A64303">
          <w:rPr>
            <w:rStyle w:val="Hyperlink"/>
            <w:rFonts w:cs="CenturyGothic"/>
            <w:sz w:val="20"/>
            <w:szCs w:val="20"/>
            <w:lang w:val="tr-TR" w:eastAsia="tr-TR"/>
          </w:rPr>
          <w:t>http://www.invest.gov.tr/</w:t>
        </w:r>
      </w:hyperlink>
      <w:r>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General Directorate of Petroleum Affairs: </w:t>
      </w:r>
      <w:hyperlink r:id="rId17" w:history="1">
        <w:r w:rsidRPr="00CD5FC3">
          <w:rPr>
            <w:rStyle w:val="Hyperlink"/>
            <w:rFonts w:cs="CenturyGothic"/>
            <w:sz w:val="20"/>
            <w:szCs w:val="20"/>
            <w:lang w:val="tr-TR" w:eastAsia="tr-TR"/>
          </w:rPr>
          <w:t>http://www.pigm.gov.tr/</w:t>
        </w:r>
      </w:hyperlink>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Turkish Petroleum Refineries Co.: </w:t>
      </w:r>
      <w:hyperlink r:id="rId18" w:history="1">
        <w:r w:rsidRPr="00CD5FC3">
          <w:rPr>
            <w:rStyle w:val="Hyperlink"/>
            <w:rFonts w:cs="CenturyGothic"/>
            <w:sz w:val="20"/>
            <w:szCs w:val="20"/>
            <w:lang w:val="tr-TR" w:eastAsia="tr-TR"/>
          </w:rPr>
          <w:t>http://www.tupras.com.tr/</w:t>
        </w:r>
      </w:hyperlink>
      <w:r w:rsidRPr="00CD5FC3">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Turkish Petroleum Co.: </w:t>
      </w:r>
      <w:hyperlink r:id="rId19" w:history="1">
        <w:r w:rsidRPr="00CD5FC3">
          <w:rPr>
            <w:rStyle w:val="Hyperlink"/>
            <w:rFonts w:cs="CenturyGothic"/>
            <w:sz w:val="20"/>
            <w:szCs w:val="20"/>
            <w:lang w:val="tr-TR" w:eastAsia="tr-TR"/>
          </w:rPr>
          <w:t>http://www.tpao.gov.tr/</w:t>
        </w:r>
      </w:hyperlink>
      <w:r w:rsidRPr="00CD5FC3">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Petroleum Pipeline Corporation: </w:t>
      </w:r>
      <w:hyperlink r:id="rId20" w:history="1">
        <w:r w:rsidRPr="00CD5FC3">
          <w:rPr>
            <w:rStyle w:val="Hyperlink"/>
            <w:rFonts w:cs="CenturyGothic"/>
            <w:sz w:val="20"/>
            <w:szCs w:val="20"/>
            <w:lang w:val="tr-TR" w:eastAsia="tr-TR"/>
          </w:rPr>
          <w:t>http://www.botas.gov.tr/</w:t>
        </w:r>
      </w:hyperlink>
      <w:r w:rsidRPr="00CD5FC3">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Ministry of Energy and Natural Resources: </w:t>
      </w:r>
      <w:hyperlink r:id="rId21" w:history="1">
        <w:r w:rsidRPr="00CD5FC3">
          <w:rPr>
            <w:rStyle w:val="Hyperlink"/>
            <w:rFonts w:cs="CenturyGothic"/>
            <w:sz w:val="20"/>
            <w:szCs w:val="20"/>
            <w:lang w:val="tr-TR" w:eastAsia="tr-TR"/>
          </w:rPr>
          <w:t>http://www.enerji.gov.tr/</w:t>
        </w:r>
      </w:hyperlink>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Energy Market Regulation Authority: </w:t>
      </w:r>
      <w:hyperlink r:id="rId22" w:history="1">
        <w:r w:rsidRPr="00CD5FC3">
          <w:rPr>
            <w:rStyle w:val="Hyperlink"/>
            <w:rFonts w:cs="CenturyGothic"/>
            <w:sz w:val="20"/>
            <w:szCs w:val="20"/>
            <w:lang w:val="tr-TR" w:eastAsia="tr-TR"/>
          </w:rPr>
          <w:t>http://www.epdk.gov.tr/</w:t>
        </w:r>
      </w:hyperlink>
      <w:r w:rsidRPr="00CD5FC3">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Petroleum Platform Association: </w:t>
      </w:r>
      <w:hyperlink r:id="rId23" w:history="1">
        <w:r w:rsidRPr="00CD5FC3">
          <w:rPr>
            <w:rStyle w:val="Hyperlink"/>
            <w:rFonts w:cs="CenturyGothic"/>
            <w:sz w:val="20"/>
            <w:szCs w:val="20"/>
            <w:lang w:val="tr-TR" w:eastAsia="tr-TR"/>
          </w:rPr>
          <w:t>http://www.petform.org.tr/</w:t>
        </w:r>
      </w:hyperlink>
      <w:r w:rsidRPr="00CD5FC3">
        <w:rPr>
          <w:rFonts w:cs="CenturyGothic"/>
          <w:sz w:val="20"/>
          <w:szCs w:val="20"/>
          <w:lang w:val="tr-TR" w:eastAsia="tr-TR"/>
        </w:rPr>
        <w:t xml:space="preserve"> </w:t>
      </w:r>
    </w:p>
    <w:p w:rsidR="0041328B" w:rsidRPr="00CD5FC3" w:rsidRDefault="0041328B" w:rsidP="0041328B">
      <w:pPr>
        <w:autoSpaceDE w:val="0"/>
        <w:autoSpaceDN w:val="0"/>
        <w:adjustRightInd w:val="0"/>
        <w:spacing w:after="0"/>
        <w:rPr>
          <w:rFonts w:cs="CenturyGothic"/>
          <w:sz w:val="20"/>
          <w:szCs w:val="20"/>
          <w:lang w:val="tr-TR" w:eastAsia="tr-TR"/>
        </w:rPr>
      </w:pPr>
      <w:r w:rsidRPr="00CD5FC3">
        <w:rPr>
          <w:rFonts w:cs="CenturyGothic"/>
          <w:sz w:val="20"/>
          <w:szCs w:val="20"/>
          <w:lang w:val="tr-TR" w:eastAsia="tr-TR"/>
        </w:rPr>
        <w:t xml:space="preserve">Turkish Association of Petroleum Geologists: </w:t>
      </w:r>
      <w:hyperlink r:id="rId24" w:history="1">
        <w:r w:rsidRPr="00CD5FC3">
          <w:rPr>
            <w:rStyle w:val="Hyperlink"/>
            <w:rFonts w:cs="CenturyGothic"/>
            <w:sz w:val="20"/>
            <w:szCs w:val="20"/>
            <w:lang w:val="tr-TR" w:eastAsia="tr-TR"/>
          </w:rPr>
          <w:t>http://www.tpjd.org.tr/</w:t>
        </w:r>
      </w:hyperlink>
      <w:r w:rsidRPr="00CD5FC3">
        <w:rPr>
          <w:rFonts w:cs="CenturyGothic"/>
          <w:sz w:val="20"/>
          <w:szCs w:val="20"/>
          <w:lang w:val="tr-TR" w:eastAsia="tr-TR"/>
        </w:rPr>
        <w:t xml:space="preserve"> </w:t>
      </w:r>
    </w:p>
    <w:p w:rsidR="0041328B" w:rsidRDefault="0041328B" w:rsidP="00CE0266">
      <w:pPr>
        <w:tabs>
          <w:tab w:val="left" w:pos="3877"/>
        </w:tabs>
        <w:spacing w:after="0"/>
        <w:rPr>
          <w:rFonts w:cs="CenturyGothic"/>
          <w:sz w:val="20"/>
          <w:szCs w:val="20"/>
          <w:lang w:eastAsia="tr-TR"/>
        </w:rPr>
      </w:pPr>
      <w:r>
        <w:rPr>
          <w:rFonts w:cs="CenturyGothic"/>
          <w:sz w:val="20"/>
          <w:szCs w:val="20"/>
          <w:lang w:eastAsia="tr-TR"/>
        </w:rPr>
        <w:t xml:space="preserve">Competition Authority: </w:t>
      </w:r>
      <w:hyperlink r:id="rId25" w:history="1">
        <w:r w:rsidRPr="00606E37">
          <w:rPr>
            <w:rStyle w:val="Hyperlink"/>
            <w:rFonts w:cs="CenturyGothic"/>
            <w:sz w:val="20"/>
            <w:szCs w:val="20"/>
            <w:lang w:eastAsia="tr-TR"/>
          </w:rPr>
          <w:t>http://www.rekabet.gov.tr/</w:t>
        </w:r>
      </w:hyperlink>
      <w:r>
        <w:rPr>
          <w:rFonts w:cs="CenturyGothic"/>
          <w:sz w:val="20"/>
          <w:szCs w:val="20"/>
          <w:lang w:eastAsia="tr-TR"/>
        </w:rPr>
        <w:t xml:space="preserve"> </w:t>
      </w:r>
    </w:p>
    <w:p w:rsidR="0041328B" w:rsidRPr="007366EE" w:rsidRDefault="0041328B" w:rsidP="00CE0266">
      <w:pPr>
        <w:tabs>
          <w:tab w:val="left" w:pos="3877"/>
        </w:tabs>
        <w:spacing w:after="0"/>
        <w:rPr>
          <w:rFonts w:cs="CenturyGothic"/>
          <w:sz w:val="20"/>
          <w:szCs w:val="20"/>
          <w:lang w:eastAsia="tr-TR"/>
        </w:rPr>
      </w:pPr>
      <w:r>
        <w:rPr>
          <w:rFonts w:cs="CenturyGothic"/>
          <w:sz w:val="20"/>
          <w:szCs w:val="20"/>
          <w:lang w:eastAsia="tr-TR"/>
        </w:rPr>
        <w:t xml:space="preserve">Privatization Authority: </w:t>
      </w:r>
      <w:hyperlink r:id="rId26" w:history="1">
        <w:r w:rsidRPr="00606E37">
          <w:rPr>
            <w:rStyle w:val="Hyperlink"/>
            <w:rFonts w:cs="CenturyGothic"/>
            <w:sz w:val="20"/>
            <w:szCs w:val="20"/>
            <w:lang w:eastAsia="tr-TR"/>
          </w:rPr>
          <w:t>http://www.oib.gov.tr/</w:t>
        </w:r>
      </w:hyperlink>
      <w:r>
        <w:rPr>
          <w:rFonts w:cs="CenturyGothic"/>
          <w:sz w:val="20"/>
          <w:szCs w:val="20"/>
          <w:lang w:eastAsia="tr-TR"/>
        </w:rPr>
        <w:t xml:space="preserve"> </w:t>
      </w:r>
    </w:p>
    <w:sectPr w:rsidR="0041328B" w:rsidRPr="007366EE" w:rsidSect="00392378">
      <w:footerReference w:type="default" r:id="rId27"/>
      <w:footnotePr>
        <w:numFmt w:val="chicago"/>
      </w:footnotePr>
      <w:pgSz w:w="12240" w:h="15840"/>
      <w:pgMar w:top="900" w:right="810" w:bottom="1080" w:left="1530" w:header="72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504" w:rsidRDefault="00EF5504" w:rsidP="00493743">
      <w:pPr>
        <w:spacing w:after="0" w:line="240" w:lineRule="auto"/>
      </w:pPr>
      <w:r>
        <w:separator/>
      </w:r>
    </w:p>
  </w:endnote>
  <w:endnote w:type="continuationSeparator" w:id="1">
    <w:p w:rsidR="00EF5504" w:rsidRDefault="00EF5504" w:rsidP="0049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eniceX">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Gothic">
    <w:panose1 w:val="00000000000000000000"/>
    <w:charset w:val="00"/>
    <w:family w:val="auto"/>
    <w:notTrueType/>
    <w:pitch w:val="default"/>
    <w:sig w:usb0="00000003" w:usb1="08070000" w:usb2="00000010" w:usb3="00000000" w:csb0="00020001" w:csb1="00000000"/>
  </w:font>
  <w:font w:name="TT2971O00">
    <w:panose1 w:val="00000000000000000000"/>
    <w:charset w:val="00"/>
    <w:family w:val="auto"/>
    <w:notTrueType/>
    <w:pitch w:val="default"/>
    <w:sig w:usb0="00000003" w:usb1="00000000" w:usb2="00000000" w:usb3="00000000" w:csb0="00000001" w:csb1="00000000"/>
  </w:font>
  <w:font w:name="Arial TUR">
    <w:charset w:val="00"/>
    <w:family w:val="swiss"/>
    <w:pitch w:val="variable"/>
    <w:sig w:usb0="20002A87" w:usb1="80000000" w:usb2="00000008" w:usb3="00000000" w:csb0="000001FF" w:csb1="00000000"/>
  </w:font>
  <w:font w:name="TT296EO00">
    <w:panose1 w:val="00000000000000000000"/>
    <w:charset w:val="00"/>
    <w:family w:val="auto"/>
    <w:notTrueType/>
    <w:pitch w:val="default"/>
    <w:sig w:usb0="00000003" w:usb1="00000000" w:usb2="00000000" w:usb3="00000000" w:csb0="00000001" w:csb1="00000000"/>
  </w:font>
  <w:font w:name="TT2985O00">
    <w:panose1 w:val="00000000000000000000"/>
    <w:charset w:val="00"/>
    <w:family w:val="auto"/>
    <w:notTrueType/>
    <w:pitch w:val="default"/>
    <w:sig w:usb0="00000003" w:usb1="00000000" w:usb2="00000000" w:usb3="00000000" w:csb0="00000001" w:csb1="00000000"/>
  </w:font>
  <w:font w:name="Futura-Heavy">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04" w:rsidRDefault="00EF5504" w:rsidP="00493743">
    <w:pPr>
      <w:pStyle w:val="Footer"/>
    </w:pPr>
    <w:r>
      <w:rPr>
        <w:sz w:val="18"/>
        <w:szCs w:val="18"/>
      </w:rPr>
      <w:tab/>
    </w:r>
    <w:hyperlink r:id="rId1" w:history="1">
      <w:r w:rsidRPr="00B574DA">
        <w:rPr>
          <w:rStyle w:val="Hyperlink"/>
          <w:sz w:val="18"/>
          <w:szCs w:val="18"/>
        </w:rPr>
        <w:t>http://www.invest.gov.tr</w:t>
      </w:r>
    </w:hyperlink>
    <w:r>
      <w:tab/>
    </w:r>
    <w:r w:rsidR="00F536FB" w:rsidRPr="008F2003">
      <w:rPr>
        <w:sz w:val="20"/>
        <w:szCs w:val="20"/>
      </w:rPr>
      <w:fldChar w:fldCharType="begin"/>
    </w:r>
    <w:r w:rsidRPr="008F2003">
      <w:rPr>
        <w:sz w:val="20"/>
        <w:szCs w:val="20"/>
      </w:rPr>
      <w:instrText xml:space="preserve"> PAGE   \* MERGEFORMAT </w:instrText>
    </w:r>
    <w:r w:rsidR="00F536FB" w:rsidRPr="008F2003">
      <w:rPr>
        <w:sz w:val="20"/>
        <w:szCs w:val="20"/>
      </w:rPr>
      <w:fldChar w:fldCharType="separate"/>
    </w:r>
    <w:r w:rsidR="00311E3E">
      <w:rPr>
        <w:noProof/>
        <w:sz w:val="20"/>
        <w:szCs w:val="20"/>
      </w:rPr>
      <w:t>21</w:t>
    </w:r>
    <w:r w:rsidR="00F536FB" w:rsidRPr="008F2003">
      <w:rPr>
        <w:sz w:val="20"/>
        <w:szCs w:val="20"/>
      </w:rPr>
      <w:fldChar w:fldCharType="end"/>
    </w:r>
  </w:p>
  <w:p w:rsidR="00EF5504" w:rsidRDefault="00EF5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504" w:rsidRDefault="00EF5504" w:rsidP="00493743">
      <w:pPr>
        <w:spacing w:after="0" w:line="240" w:lineRule="auto"/>
      </w:pPr>
      <w:r>
        <w:separator/>
      </w:r>
    </w:p>
  </w:footnote>
  <w:footnote w:type="continuationSeparator" w:id="1">
    <w:p w:rsidR="00EF5504" w:rsidRDefault="00EF5504" w:rsidP="00493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26"/>
    <w:multiLevelType w:val="hybridMultilevel"/>
    <w:tmpl w:val="58A4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3D85"/>
    <w:multiLevelType w:val="hybridMultilevel"/>
    <w:tmpl w:val="C5C0E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744C79"/>
    <w:multiLevelType w:val="hybridMultilevel"/>
    <w:tmpl w:val="5DB4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53F5E"/>
    <w:multiLevelType w:val="hybridMultilevel"/>
    <w:tmpl w:val="94563F3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86694"/>
    <w:multiLevelType w:val="hybridMultilevel"/>
    <w:tmpl w:val="F714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F1A93"/>
    <w:multiLevelType w:val="hybridMultilevel"/>
    <w:tmpl w:val="9502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90423"/>
    <w:multiLevelType w:val="hybridMultilevel"/>
    <w:tmpl w:val="E320E8A0"/>
    <w:lvl w:ilvl="0" w:tplc="04090001">
      <w:start w:val="1"/>
      <w:numFmt w:val="bullet"/>
      <w:lvlText w:val=""/>
      <w:lvlJc w:val="left"/>
      <w:pPr>
        <w:ind w:left="720" w:hanging="360"/>
      </w:pPr>
      <w:rPr>
        <w:rFonts w:ascii="Symbol" w:hAnsi="Symbol" w:hint="default"/>
      </w:rPr>
    </w:lvl>
    <w:lvl w:ilvl="1" w:tplc="4D88B37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F6378"/>
    <w:multiLevelType w:val="hybridMultilevel"/>
    <w:tmpl w:val="119CEE62"/>
    <w:lvl w:ilvl="0" w:tplc="EEE2FB3C">
      <w:start w:val="1"/>
      <w:numFmt w:val="decimal"/>
      <w:lvlText w:val="(%1)"/>
      <w:lvlJc w:val="left"/>
      <w:pPr>
        <w:tabs>
          <w:tab w:val="num" w:pos="1470"/>
        </w:tabs>
        <w:ind w:left="1470" w:hanging="39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B2F5B90"/>
    <w:multiLevelType w:val="hybridMultilevel"/>
    <w:tmpl w:val="F28EC15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D6C0A14"/>
    <w:multiLevelType w:val="hybridMultilevel"/>
    <w:tmpl w:val="941A40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DDD77FB"/>
    <w:multiLevelType w:val="hybridMultilevel"/>
    <w:tmpl w:val="74485E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722E2DD9"/>
    <w:multiLevelType w:val="hybridMultilevel"/>
    <w:tmpl w:val="33AA5F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6E16CED"/>
    <w:multiLevelType w:val="hybridMultilevel"/>
    <w:tmpl w:val="6EFC2DB8"/>
    <w:lvl w:ilvl="0" w:tplc="8C74A2C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2"/>
  </w:num>
  <w:num w:numId="8">
    <w:abstractNumId w:val="7"/>
  </w:num>
  <w:num w:numId="9">
    <w:abstractNumId w:val="8"/>
  </w:num>
  <w:num w:numId="10">
    <w:abstractNumId w:val="10"/>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numFmt w:val="chicago"/>
    <w:footnote w:id="0"/>
    <w:footnote w:id="1"/>
  </w:footnotePr>
  <w:endnotePr>
    <w:endnote w:id="0"/>
    <w:endnote w:id="1"/>
  </w:endnotePr>
  <w:compat/>
  <w:rsids>
    <w:rsidRoot w:val="00081FDE"/>
    <w:rsid w:val="000136AB"/>
    <w:rsid w:val="00020E62"/>
    <w:rsid w:val="00022137"/>
    <w:rsid w:val="000332BB"/>
    <w:rsid w:val="000368EE"/>
    <w:rsid w:val="0005314B"/>
    <w:rsid w:val="0006430E"/>
    <w:rsid w:val="000709A9"/>
    <w:rsid w:val="00081FDE"/>
    <w:rsid w:val="00086823"/>
    <w:rsid w:val="0009091E"/>
    <w:rsid w:val="00093184"/>
    <w:rsid w:val="00097F1E"/>
    <w:rsid w:val="000A1D4F"/>
    <w:rsid w:val="000B650C"/>
    <w:rsid w:val="000E0752"/>
    <w:rsid w:val="000E20F2"/>
    <w:rsid w:val="000E5716"/>
    <w:rsid w:val="000F550B"/>
    <w:rsid w:val="001022B8"/>
    <w:rsid w:val="0011123E"/>
    <w:rsid w:val="00121518"/>
    <w:rsid w:val="0012236B"/>
    <w:rsid w:val="00124A70"/>
    <w:rsid w:val="00126829"/>
    <w:rsid w:val="00141956"/>
    <w:rsid w:val="00146D97"/>
    <w:rsid w:val="00153289"/>
    <w:rsid w:val="0017633D"/>
    <w:rsid w:val="00177585"/>
    <w:rsid w:val="00181096"/>
    <w:rsid w:val="001865DA"/>
    <w:rsid w:val="001878C1"/>
    <w:rsid w:val="001963DD"/>
    <w:rsid w:val="001B1B68"/>
    <w:rsid w:val="001B2278"/>
    <w:rsid w:val="001B6BA6"/>
    <w:rsid w:val="001C172D"/>
    <w:rsid w:val="001C77DC"/>
    <w:rsid w:val="001D5829"/>
    <w:rsid w:val="001E601E"/>
    <w:rsid w:val="001F2050"/>
    <w:rsid w:val="001F7FF9"/>
    <w:rsid w:val="00201262"/>
    <w:rsid w:val="0021703F"/>
    <w:rsid w:val="00217B18"/>
    <w:rsid w:val="00222C43"/>
    <w:rsid w:val="002270AF"/>
    <w:rsid w:val="0023694D"/>
    <w:rsid w:val="00245FA8"/>
    <w:rsid w:val="00265F39"/>
    <w:rsid w:val="002713E7"/>
    <w:rsid w:val="00273E0F"/>
    <w:rsid w:val="0027689A"/>
    <w:rsid w:val="00283F1E"/>
    <w:rsid w:val="002975C4"/>
    <w:rsid w:val="002B12DF"/>
    <w:rsid w:val="002C755C"/>
    <w:rsid w:val="002E39A7"/>
    <w:rsid w:val="002F19AC"/>
    <w:rsid w:val="002F19F9"/>
    <w:rsid w:val="003005CB"/>
    <w:rsid w:val="00311E3E"/>
    <w:rsid w:val="00312FE3"/>
    <w:rsid w:val="00313276"/>
    <w:rsid w:val="0032370D"/>
    <w:rsid w:val="00337E8E"/>
    <w:rsid w:val="003437A3"/>
    <w:rsid w:val="0034407F"/>
    <w:rsid w:val="00354DEC"/>
    <w:rsid w:val="0035764B"/>
    <w:rsid w:val="00370BCB"/>
    <w:rsid w:val="003807B4"/>
    <w:rsid w:val="003828F1"/>
    <w:rsid w:val="003906DB"/>
    <w:rsid w:val="00392378"/>
    <w:rsid w:val="00394F13"/>
    <w:rsid w:val="003A5C20"/>
    <w:rsid w:val="003B4681"/>
    <w:rsid w:val="003B79DE"/>
    <w:rsid w:val="003C0444"/>
    <w:rsid w:val="003C43F0"/>
    <w:rsid w:val="003D6EC6"/>
    <w:rsid w:val="00402DE3"/>
    <w:rsid w:val="0041328B"/>
    <w:rsid w:val="00420DA4"/>
    <w:rsid w:val="00425540"/>
    <w:rsid w:val="0043100F"/>
    <w:rsid w:val="004315CC"/>
    <w:rsid w:val="0043337B"/>
    <w:rsid w:val="0043617F"/>
    <w:rsid w:val="00451988"/>
    <w:rsid w:val="004670F2"/>
    <w:rsid w:val="00471F1B"/>
    <w:rsid w:val="004731B2"/>
    <w:rsid w:val="0048377B"/>
    <w:rsid w:val="00493743"/>
    <w:rsid w:val="00497704"/>
    <w:rsid w:val="004A2D95"/>
    <w:rsid w:val="004A6E7F"/>
    <w:rsid w:val="004B136E"/>
    <w:rsid w:val="004B3AEF"/>
    <w:rsid w:val="004C2F4F"/>
    <w:rsid w:val="004C5110"/>
    <w:rsid w:val="004D2ADD"/>
    <w:rsid w:val="004D428F"/>
    <w:rsid w:val="004D507F"/>
    <w:rsid w:val="004E049B"/>
    <w:rsid w:val="004E678D"/>
    <w:rsid w:val="004F3B53"/>
    <w:rsid w:val="004F49A8"/>
    <w:rsid w:val="00513F85"/>
    <w:rsid w:val="005200D0"/>
    <w:rsid w:val="00521AC9"/>
    <w:rsid w:val="00540DB5"/>
    <w:rsid w:val="00550A20"/>
    <w:rsid w:val="005520B6"/>
    <w:rsid w:val="005526B8"/>
    <w:rsid w:val="005552F3"/>
    <w:rsid w:val="005604E5"/>
    <w:rsid w:val="00561241"/>
    <w:rsid w:val="005718B1"/>
    <w:rsid w:val="005969BB"/>
    <w:rsid w:val="005A30DC"/>
    <w:rsid w:val="005A3461"/>
    <w:rsid w:val="005B6BA1"/>
    <w:rsid w:val="005C4255"/>
    <w:rsid w:val="005C6F3B"/>
    <w:rsid w:val="005D6E62"/>
    <w:rsid w:val="00601DD2"/>
    <w:rsid w:val="006020AD"/>
    <w:rsid w:val="00603696"/>
    <w:rsid w:val="00606D1D"/>
    <w:rsid w:val="006248A9"/>
    <w:rsid w:val="0063701D"/>
    <w:rsid w:val="006431F1"/>
    <w:rsid w:val="00656650"/>
    <w:rsid w:val="00656FDA"/>
    <w:rsid w:val="00661D1D"/>
    <w:rsid w:val="00673591"/>
    <w:rsid w:val="00694D8E"/>
    <w:rsid w:val="006A3099"/>
    <w:rsid w:val="006B2138"/>
    <w:rsid w:val="006C32F3"/>
    <w:rsid w:val="006C3F03"/>
    <w:rsid w:val="006D76B7"/>
    <w:rsid w:val="006E58AA"/>
    <w:rsid w:val="006E6993"/>
    <w:rsid w:val="006F55E8"/>
    <w:rsid w:val="00700664"/>
    <w:rsid w:val="00705462"/>
    <w:rsid w:val="00712C94"/>
    <w:rsid w:val="0073214D"/>
    <w:rsid w:val="007366EE"/>
    <w:rsid w:val="0076039C"/>
    <w:rsid w:val="007608AE"/>
    <w:rsid w:val="00762860"/>
    <w:rsid w:val="00763B3F"/>
    <w:rsid w:val="0077002E"/>
    <w:rsid w:val="00771369"/>
    <w:rsid w:val="0077290B"/>
    <w:rsid w:val="00774E4E"/>
    <w:rsid w:val="00784AA2"/>
    <w:rsid w:val="0078569F"/>
    <w:rsid w:val="00793A0F"/>
    <w:rsid w:val="00797077"/>
    <w:rsid w:val="007A0977"/>
    <w:rsid w:val="007A2ACA"/>
    <w:rsid w:val="007A336A"/>
    <w:rsid w:val="007A656E"/>
    <w:rsid w:val="007C330F"/>
    <w:rsid w:val="007D607F"/>
    <w:rsid w:val="007F34DE"/>
    <w:rsid w:val="007F4A11"/>
    <w:rsid w:val="00801B12"/>
    <w:rsid w:val="00802418"/>
    <w:rsid w:val="00812104"/>
    <w:rsid w:val="008260C7"/>
    <w:rsid w:val="00837BD0"/>
    <w:rsid w:val="00844DC8"/>
    <w:rsid w:val="0086223A"/>
    <w:rsid w:val="0087214D"/>
    <w:rsid w:val="008725BC"/>
    <w:rsid w:val="00874539"/>
    <w:rsid w:val="00880B62"/>
    <w:rsid w:val="0088457C"/>
    <w:rsid w:val="00884BB6"/>
    <w:rsid w:val="008A0510"/>
    <w:rsid w:val="008A261F"/>
    <w:rsid w:val="008A50C2"/>
    <w:rsid w:val="008E2D3C"/>
    <w:rsid w:val="008E510C"/>
    <w:rsid w:val="008E5BE1"/>
    <w:rsid w:val="008F2003"/>
    <w:rsid w:val="008F3F1F"/>
    <w:rsid w:val="009067CB"/>
    <w:rsid w:val="00907413"/>
    <w:rsid w:val="0091280B"/>
    <w:rsid w:val="00912D5C"/>
    <w:rsid w:val="00922BFE"/>
    <w:rsid w:val="00923681"/>
    <w:rsid w:val="00923A21"/>
    <w:rsid w:val="00925C83"/>
    <w:rsid w:val="009329A9"/>
    <w:rsid w:val="00933345"/>
    <w:rsid w:val="00935F55"/>
    <w:rsid w:val="0094096C"/>
    <w:rsid w:val="00950A97"/>
    <w:rsid w:val="00964542"/>
    <w:rsid w:val="00965D1A"/>
    <w:rsid w:val="00971D84"/>
    <w:rsid w:val="009778A6"/>
    <w:rsid w:val="00987009"/>
    <w:rsid w:val="009A033E"/>
    <w:rsid w:val="009C5A80"/>
    <w:rsid w:val="009D657A"/>
    <w:rsid w:val="009E2150"/>
    <w:rsid w:val="009E27FC"/>
    <w:rsid w:val="009E53B2"/>
    <w:rsid w:val="009E7792"/>
    <w:rsid w:val="00A02673"/>
    <w:rsid w:val="00A10E5F"/>
    <w:rsid w:val="00A21B87"/>
    <w:rsid w:val="00A44208"/>
    <w:rsid w:val="00A653F0"/>
    <w:rsid w:val="00A71985"/>
    <w:rsid w:val="00A83E8D"/>
    <w:rsid w:val="00AA7A13"/>
    <w:rsid w:val="00AB5542"/>
    <w:rsid w:val="00AE04AF"/>
    <w:rsid w:val="00AE6F9E"/>
    <w:rsid w:val="00AF09F1"/>
    <w:rsid w:val="00B00FC9"/>
    <w:rsid w:val="00B06D4C"/>
    <w:rsid w:val="00B12BEC"/>
    <w:rsid w:val="00B26A1B"/>
    <w:rsid w:val="00B51144"/>
    <w:rsid w:val="00B52386"/>
    <w:rsid w:val="00B53342"/>
    <w:rsid w:val="00B708EA"/>
    <w:rsid w:val="00B74CBD"/>
    <w:rsid w:val="00B850A7"/>
    <w:rsid w:val="00B875D1"/>
    <w:rsid w:val="00B93994"/>
    <w:rsid w:val="00B97F62"/>
    <w:rsid w:val="00BA30D7"/>
    <w:rsid w:val="00BB778E"/>
    <w:rsid w:val="00BD2916"/>
    <w:rsid w:val="00BD680A"/>
    <w:rsid w:val="00BE4639"/>
    <w:rsid w:val="00BF2646"/>
    <w:rsid w:val="00C23AD8"/>
    <w:rsid w:val="00C36DDF"/>
    <w:rsid w:val="00C51D54"/>
    <w:rsid w:val="00C67BA8"/>
    <w:rsid w:val="00C77F74"/>
    <w:rsid w:val="00C83AFE"/>
    <w:rsid w:val="00C970AE"/>
    <w:rsid w:val="00CA2C35"/>
    <w:rsid w:val="00CA6640"/>
    <w:rsid w:val="00CB0134"/>
    <w:rsid w:val="00CB039D"/>
    <w:rsid w:val="00CB7EBF"/>
    <w:rsid w:val="00CD103F"/>
    <w:rsid w:val="00CD14EF"/>
    <w:rsid w:val="00CD606C"/>
    <w:rsid w:val="00CD7EAD"/>
    <w:rsid w:val="00CE0266"/>
    <w:rsid w:val="00CE0806"/>
    <w:rsid w:val="00CF1B2C"/>
    <w:rsid w:val="00CF4C16"/>
    <w:rsid w:val="00D21585"/>
    <w:rsid w:val="00D40388"/>
    <w:rsid w:val="00D50E6B"/>
    <w:rsid w:val="00D51457"/>
    <w:rsid w:val="00D51C7C"/>
    <w:rsid w:val="00D55C6B"/>
    <w:rsid w:val="00D909CA"/>
    <w:rsid w:val="00D90D73"/>
    <w:rsid w:val="00D915E8"/>
    <w:rsid w:val="00D94120"/>
    <w:rsid w:val="00DA65DA"/>
    <w:rsid w:val="00DB7DD1"/>
    <w:rsid w:val="00DC241B"/>
    <w:rsid w:val="00DD2B9D"/>
    <w:rsid w:val="00DD4356"/>
    <w:rsid w:val="00DE05CC"/>
    <w:rsid w:val="00DF5C97"/>
    <w:rsid w:val="00E07F74"/>
    <w:rsid w:val="00E1005D"/>
    <w:rsid w:val="00E100C5"/>
    <w:rsid w:val="00E10AE2"/>
    <w:rsid w:val="00E12C43"/>
    <w:rsid w:val="00E1514E"/>
    <w:rsid w:val="00E1524F"/>
    <w:rsid w:val="00E16603"/>
    <w:rsid w:val="00E21E80"/>
    <w:rsid w:val="00E21FDC"/>
    <w:rsid w:val="00E2207A"/>
    <w:rsid w:val="00E23FF0"/>
    <w:rsid w:val="00E25434"/>
    <w:rsid w:val="00E408A8"/>
    <w:rsid w:val="00E420DF"/>
    <w:rsid w:val="00E44560"/>
    <w:rsid w:val="00E54902"/>
    <w:rsid w:val="00E56C77"/>
    <w:rsid w:val="00E65C9D"/>
    <w:rsid w:val="00E808D6"/>
    <w:rsid w:val="00E8718E"/>
    <w:rsid w:val="00E97D4A"/>
    <w:rsid w:val="00EA31E0"/>
    <w:rsid w:val="00EC2661"/>
    <w:rsid w:val="00EC4145"/>
    <w:rsid w:val="00EC51D8"/>
    <w:rsid w:val="00EC62AE"/>
    <w:rsid w:val="00ED0601"/>
    <w:rsid w:val="00EE1180"/>
    <w:rsid w:val="00EF5504"/>
    <w:rsid w:val="00EF5758"/>
    <w:rsid w:val="00F04905"/>
    <w:rsid w:val="00F17C5E"/>
    <w:rsid w:val="00F2725C"/>
    <w:rsid w:val="00F31CCE"/>
    <w:rsid w:val="00F34412"/>
    <w:rsid w:val="00F4277E"/>
    <w:rsid w:val="00F536FB"/>
    <w:rsid w:val="00F56AB7"/>
    <w:rsid w:val="00F62857"/>
    <w:rsid w:val="00F7321C"/>
    <w:rsid w:val="00F7743C"/>
    <w:rsid w:val="00F94957"/>
    <w:rsid w:val="00FA3FD7"/>
    <w:rsid w:val="00FE3BAC"/>
    <w:rsid w:val="00FF187D"/>
    <w:rsid w:val="00FF3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B7"/>
    <w:pPr>
      <w:spacing w:after="200" w:line="276" w:lineRule="auto"/>
    </w:pPr>
    <w:rPr>
      <w:sz w:val="22"/>
      <w:szCs w:val="22"/>
      <w:lang w:val="en-US" w:eastAsia="en-US"/>
    </w:rPr>
  </w:style>
  <w:style w:type="paragraph" w:styleId="Heading1">
    <w:name w:val="heading 1"/>
    <w:basedOn w:val="Normal"/>
    <w:link w:val="Heading1Char"/>
    <w:uiPriority w:val="9"/>
    <w:qFormat/>
    <w:rsid w:val="009778A6"/>
    <w:pPr>
      <w:spacing w:before="100" w:beforeAutospacing="1" w:after="100" w:afterAutospacing="1" w:line="240" w:lineRule="auto"/>
      <w:outlineLvl w:val="0"/>
    </w:pPr>
    <w:rPr>
      <w:rFonts w:ascii="Times New Roman" w:eastAsia="Times New Roman" w:hAnsi="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3743"/>
    <w:pPr>
      <w:tabs>
        <w:tab w:val="center" w:pos="4680"/>
        <w:tab w:val="right" w:pos="9360"/>
      </w:tabs>
    </w:pPr>
  </w:style>
  <w:style w:type="character" w:customStyle="1" w:styleId="FooterChar">
    <w:name w:val="Footer Char"/>
    <w:basedOn w:val="DefaultParagraphFont"/>
    <w:link w:val="Footer"/>
    <w:uiPriority w:val="99"/>
    <w:rsid w:val="00493743"/>
    <w:rPr>
      <w:sz w:val="22"/>
      <w:szCs w:val="22"/>
    </w:rPr>
  </w:style>
  <w:style w:type="paragraph" w:styleId="FootnoteText">
    <w:name w:val="footnote text"/>
    <w:basedOn w:val="Normal"/>
    <w:link w:val="FootnoteTextChar"/>
    <w:uiPriority w:val="99"/>
    <w:semiHidden/>
    <w:unhideWhenUsed/>
    <w:rsid w:val="00493743"/>
    <w:rPr>
      <w:sz w:val="20"/>
      <w:szCs w:val="20"/>
    </w:rPr>
  </w:style>
  <w:style w:type="character" w:customStyle="1" w:styleId="FootnoteTextChar">
    <w:name w:val="Footnote Text Char"/>
    <w:basedOn w:val="DefaultParagraphFont"/>
    <w:link w:val="FootnoteText"/>
    <w:uiPriority w:val="99"/>
    <w:semiHidden/>
    <w:rsid w:val="00493743"/>
  </w:style>
  <w:style w:type="character" w:styleId="FootnoteReference">
    <w:name w:val="footnote reference"/>
    <w:basedOn w:val="DefaultParagraphFont"/>
    <w:uiPriority w:val="99"/>
    <w:semiHidden/>
    <w:unhideWhenUsed/>
    <w:rsid w:val="00493743"/>
    <w:rPr>
      <w:vertAlign w:val="superscript"/>
    </w:rPr>
  </w:style>
  <w:style w:type="paragraph" w:styleId="ListParagraph">
    <w:name w:val="List Paragraph"/>
    <w:basedOn w:val="Normal"/>
    <w:uiPriority w:val="34"/>
    <w:qFormat/>
    <w:rsid w:val="00493743"/>
    <w:pPr>
      <w:ind w:left="720"/>
      <w:contextualSpacing/>
    </w:pPr>
  </w:style>
  <w:style w:type="paragraph" w:styleId="NormalWeb">
    <w:name w:val="Normal (Web)"/>
    <w:basedOn w:val="Normal"/>
    <w:uiPriority w:val="99"/>
    <w:unhideWhenUsed/>
    <w:rsid w:val="0049374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37E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709A9"/>
    <w:rPr>
      <w:color w:val="EE1B24"/>
      <w:u w:val="single"/>
    </w:rPr>
  </w:style>
  <w:style w:type="character" w:customStyle="1" w:styleId="A16">
    <w:name w:val="A16"/>
    <w:basedOn w:val="DefaultParagraphFont"/>
    <w:uiPriority w:val="99"/>
    <w:rsid w:val="001B2278"/>
    <w:rPr>
      <w:rFonts w:ascii="FeniceX" w:hAnsi="FeniceX" w:hint="default"/>
      <w:color w:val="202024"/>
    </w:rPr>
  </w:style>
  <w:style w:type="character" w:customStyle="1" w:styleId="brokenlink">
    <w:name w:val="brokenlink"/>
    <w:basedOn w:val="DefaultParagraphFont"/>
    <w:rsid w:val="001865DA"/>
  </w:style>
  <w:style w:type="paragraph" w:styleId="EndnoteText">
    <w:name w:val="endnote text"/>
    <w:basedOn w:val="Normal"/>
    <w:link w:val="EndnoteTextChar"/>
    <w:uiPriority w:val="99"/>
    <w:semiHidden/>
    <w:unhideWhenUsed/>
    <w:rsid w:val="007D607F"/>
    <w:rPr>
      <w:sz w:val="20"/>
      <w:szCs w:val="20"/>
    </w:rPr>
  </w:style>
  <w:style w:type="character" w:customStyle="1" w:styleId="EndnoteTextChar">
    <w:name w:val="Endnote Text Char"/>
    <w:basedOn w:val="DefaultParagraphFont"/>
    <w:link w:val="EndnoteText"/>
    <w:uiPriority w:val="99"/>
    <w:semiHidden/>
    <w:rsid w:val="007D607F"/>
  </w:style>
  <w:style w:type="character" w:styleId="EndnoteReference">
    <w:name w:val="endnote reference"/>
    <w:basedOn w:val="DefaultParagraphFont"/>
    <w:uiPriority w:val="99"/>
    <w:semiHidden/>
    <w:unhideWhenUsed/>
    <w:rsid w:val="007D607F"/>
    <w:rPr>
      <w:vertAlign w:val="superscript"/>
    </w:rPr>
  </w:style>
  <w:style w:type="paragraph" w:styleId="Header">
    <w:name w:val="header"/>
    <w:basedOn w:val="Normal"/>
    <w:link w:val="HeaderChar"/>
    <w:uiPriority w:val="99"/>
    <w:semiHidden/>
    <w:unhideWhenUsed/>
    <w:rsid w:val="0009091E"/>
    <w:pPr>
      <w:tabs>
        <w:tab w:val="center" w:pos="4680"/>
        <w:tab w:val="right" w:pos="9360"/>
      </w:tabs>
    </w:pPr>
  </w:style>
  <w:style w:type="character" w:customStyle="1" w:styleId="HeaderChar">
    <w:name w:val="Header Char"/>
    <w:basedOn w:val="DefaultParagraphFont"/>
    <w:link w:val="Header"/>
    <w:uiPriority w:val="99"/>
    <w:semiHidden/>
    <w:rsid w:val="0009091E"/>
    <w:rPr>
      <w:sz w:val="22"/>
      <w:szCs w:val="22"/>
    </w:rPr>
  </w:style>
  <w:style w:type="character" w:styleId="FollowedHyperlink">
    <w:name w:val="FollowedHyperlink"/>
    <w:basedOn w:val="DefaultParagraphFont"/>
    <w:uiPriority w:val="99"/>
    <w:semiHidden/>
    <w:unhideWhenUsed/>
    <w:rsid w:val="002E39A7"/>
    <w:rPr>
      <w:color w:val="800080"/>
      <w:u w:val="single"/>
    </w:rPr>
  </w:style>
  <w:style w:type="character" w:customStyle="1" w:styleId="csssubheading1">
    <w:name w:val="csssubheading1"/>
    <w:basedOn w:val="DefaultParagraphFont"/>
    <w:rsid w:val="00922BFE"/>
  </w:style>
  <w:style w:type="character" w:customStyle="1" w:styleId="csssubheading2">
    <w:name w:val="csssubheading2"/>
    <w:basedOn w:val="DefaultParagraphFont"/>
    <w:rsid w:val="00922BFE"/>
  </w:style>
  <w:style w:type="table" w:customStyle="1" w:styleId="LightGrid-Accent11">
    <w:name w:val="Light Grid - Accent 11"/>
    <w:basedOn w:val="TableNormal"/>
    <w:uiPriority w:val="62"/>
    <w:rsid w:val="003440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TableNormal"/>
    <w:uiPriority w:val="60"/>
    <w:rsid w:val="007A09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6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42"/>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778A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9565192">
      <w:bodyDiv w:val="1"/>
      <w:marLeft w:val="0"/>
      <w:marRight w:val="0"/>
      <w:marTop w:val="0"/>
      <w:marBottom w:val="0"/>
      <w:divBdr>
        <w:top w:val="none" w:sz="0" w:space="0" w:color="auto"/>
        <w:left w:val="none" w:sz="0" w:space="0" w:color="auto"/>
        <w:bottom w:val="none" w:sz="0" w:space="0" w:color="auto"/>
        <w:right w:val="none" w:sz="0" w:space="0" w:color="auto"/>
      </w:divBdr>
    </w:div>
    <w:div w:id="222375795">
      <w:bodyDiv w:val="1"/>
      <w:marLeft w:val="0"/>
      <w:marRight w:val="0"/>
      <w:marTop w:val="0"/>
      <w:marBottom w:val="0"/>
      <w:divBdr>
        <w:top w:val="none" w:sz="0" w:space="0" w:color="auto"/>
        <w:left w:val="none" w:sz="0" w:space="0" w:color="auto"/>
        <w:bottom w:val="none" w:sz="0" w:space="0" w:color="auto"/>
        <w:right w:val="none" w:sz="0" w:space="0" w:color="auto"/>
      </w:divBdr>
    </w:div>
    <w:div w:id="265043208">
      <w:bodyDiv w:val="1"/>
      <w:marLeft w:val="0"/>
      <w:marRight w:val="0"/>
      <w:marTop w:val="0"/>
      <w:marBottom w:val="0"/>
      <w:divBdr>
        <w:top w:val="none" w:sz="0" w:space="0" w:color="auto"/>
        <w:left w:val="none" w:sz="0" w:space="0" w:color="auto"/>
        <w:bottom w:val="none" w:sz="0" w:space="0" w:color="auto"/>
        <w:right w:val="none" w:sz="0" w:space="0" w:color="auto"/>
      </w:divBdr>
    </w:div>
    <w:div w:id="420489100">
      <w:bodyDiv w:val="1"/>
      <w:marLeft w:val="0"/>
      <w:marRight w:val="0"/>
      <w:marTop w:val="0"/>
      <w:marBottom w:val="0"/>
      <w:divBdr>
        <w:top w:val="none" w:sz="0" w:space="0" w:color="auto"/>
        <w:left w:val="none" w:sz="0" w:space="0" w:color="auto"/>
        <w:bottom w:val="none" w:sz="0" w:space="0" w:color="auto"/>
        <w:right w:val="none" w:sz="0" w:space="0" w:color="auto"/>
      </w:divBdr>
    </w:div>
    <w:div w:id="446196910">
      <w:bodyDiv w:val="1"/>
      <w:marLeft w:val="0"/>
      <w:marRight w:val="0"/>
      <w:marTop w:val="0"/>
      <w:marBottom w:val="0"/>
      <w:divBdr>
        <w:top w:val="none" w:sz="0" w:space="0" w:color="auto"/>
        <w:left w:val="none" w:sz="0" w:space="0" w:color="auto"/>
        <w:bottom w:val="none" w:sz="0" w:space="0" w:color="auto"/>
        <w:right w:val="none" w:sz="0" w:space="0" w:color="auto"/>
      </w:divBdr>
    </w:div>
    <w:div w:id="717822767">
      <w:bodyDiv w:val="1"/>
      <w:marLeft w:val="0"/>
      <w:marRight w:val="0"/>
      <w:marTop w:val="0"/>
      <w:marBottom w:val="0"/>
      <w:divBdr>
        <w:top w:val="none" w:sz="0" w:space="0" w:color="auto"/>
        <w:left w:val="none" w:sz="0" w:space="0" w:color="auto"/>
        <w:bottom w:val="none" w:sz="0" w:space="0" w:color="auto"/>
        <w:right w:val="none" w:sz="0" w:space="0" w:color="auto"/>
      </w:divBdr>
    </w:div>
    <w:div w:id="789933171">
      <w:bodyDiv w:val="1"/>
      <w:marLeft w:val="0"/>
      <w:marRight w:val="0"/>
      <w:marTop w:val="0"/>
      <w:marBottom w:val="0"/>
      <w:divBdr>
        <w:top w:val="none" w:sz="0" w:space="0" w:color="auto"/>
        <w:left w:val="none" w:sz="0" w:space="0" w:color="auto"/>
        <w:bottom w:val="none" w:sz="0" w:space="0" w:color="auto"/>
        <w:right w:val="none" w:sz="0" w:space="0" w:color="auto"/>
      </w:divBdr>
    </w:div>
    <w:div w:id="915166350">
      <w:bodyDiv w:val="1"/>
      <w:marLeft w:val="0"/>
      <w:marRight w:val="0"/>
      <w:marTop w:val="0"/>
      <w:marBottom w:val="0"/>
      <w:divBdr>
        <w:top w:val="none" w:sz="0" w:space="0" w:color="auto"/>
        <w:left w:val="none" w:sz="0" w:space="0" w:color="auto"/>
        <w:bottom w:val="none" w:sz="0" w:space="0" w:color="auto"/>
        <w:right w:val="none" w:sz="0" w:space="0" w:color="auto"/>
      </w:divBdr>
    </w:div>
    <w:div w:id="1008600171">
      <w:bodyDiv w:val="1"/>
      <w:marLeft w:val="0"/>
      <w:marRight w:val="0"/>
      <w:marTop w:val="0"/>
      <w:marBottom w:val="0"/>
      <w:divBdr>
        <w:top w:val="none" w:sz="0" w:space="0" w:color="auto"/>
        <w:left w:val="none" w:sz="0" w:space="0" w:color="auto"/>
        <w:bottom w:val="none" w:sz="0" w:space="0" w:color="auto"/>
        <w:right w:val="none" w:sz="0" w:space="0" w:color="auto"/>
      </w:divBdr>
      <w:divsChild>
        <w:div w:id="709763036">
          <w:marLeft w:val="0"/>
          <w:marRight w:val="0"/>
          <w:marTop w:val="0"/>
          <w:marBottom w:val="0"/>
          <w:divBdr>
            <w:top w:val="none" w:sz="0" w:space="0" w:color="auto"/>
            <w:left w:val="none" w:sz="0" w:space="0" w:color="auto"/>
            <w:bottom w:val="none" w:sz="0" w:space="0" w:color="auto"/>
            <w:right w:val="none" w:sz="0" w:space="0" w:color="auto"/>
          </w:divBdr>
          <w:divsChild>
            <w:div w:id="10571472">
              <w:marLeft w:val="0"/>
              <w:marRight w:val="0"/>
              <w:marTop w:val="0"/>
              <w:marBottom w:val="0"/>
              <w:divBdr>
                <w:top w:val="none" w:sz="0" w:space="0" w:color="auto"/>
                <w:left w:val="none" w:sz="0" w:space="0" w:color="auto"/>
                <w:bottom w:val="none" w:sz="0" w:space="0" w:color="auto"/>
                <w:right w:val="none" w:sz="0" w:space="0" w:color="auto"/>
              </w:divBdr>
            </w:div>
            <w:div w:id="830104746">
              <w:marLeft w:val="0"/>
              <w:marRight w:val="0"/>
              <w:marTop w:val="0"/>
              <w:marBottom w:val="0"/>
              <w:divBdr>
                <w:top w:val="none" w:sz="0" w:space="0" w:color="auto"/>
                <w:left w:val="none" w:sz="0" w:space="0" w:color="auto"/>
                <w:bottom w:val="none" w:sz="0" w:space="0" w:color="auto"/>
                <w:right w:val="none" w:sz="0" w:space="0" w:color="auto"/>
              </w:divBdr>
            </w:div>
            <w:div w:id="1079518381">
              <w:marLeft w:val="0"/>
              <w:marRight w:val="0"/>
              <w:marTop w:val="0"/>
              <w:marBottom w:val="0"/>
              <w:divBdr>
                <w:top w:val="none" w:sz="0" w:space="0" w:color="auto"/>
                <w:left w:val="none" w:sz="0" w:space="0" w:color="auto"/>
                <w:bottom w:val="none" w:sz="0" w:space="0" w:color="auto"/>
                <w:right w:val="none" w:sz="0" w:space="0" w:color="auto"/>
              </w:divBdr>
            </w:div>
            <w:div w:id="1244487087">
              <w:marLeft w:val="0"/>
              <w:marRight w:val="0"/>
              <w:marTop w:val="0"/>
              <w:marBottom w:val="0"/>
              <w:divBdr>
                <w:top w:val="none" w:sz="0" w:space="0" w:color="auto"/>
                <w:left w:val="none" w:sz="0" w:space="0" w:color="auto"/>
                <w:bottom w:val="none" w:sz="0" w:space="0" w:color="auto"/>
                <w:right w:val="none" w:sz="0" w:space="0" w:color="auto"/>
              </w:divBdr>
            </w:div>
            <w:div w:id="1438594431">
              <w:marLeft w:val="0"/>
              <w:marRight w:val="0"/>
              <w:marTop w:val="0"/>
              <w:marBottom w:val="0"/>
              <w:divBdr>
                <w:top w:val="none" w:sz="0" w:space="0" w:color="auto"/>
                <w:left w:val="none" w:sz="0" w:space="0" w:color="auto"/>
                <w:bottom w:val="none" w:sz="0" w:space="0" w:color="auto"/>
                <w:right w:val="none" w:sz="0" w:space="0" w:color="auto"/>
              </w:divBdr>
            </w:div>
            <w:div w:id="1451390039">
              <w:marLeft w:val="0"/>
              <w:marRight w:val="0"/>
              <w:marTop w:val="0"/>
              <w:marBottom w:val="0"/>
              <w:divBdr>
                <w:top w:val="none" w:sz="0" w:space="0" w:color="auto"/>
                <w:left w:val="none" w:sz="0" w:space="0" w:color="auto"/>
                <w:bottom w:val="none" w:sz="0" w:space="0" w:color="auto"/>
                <w:right w:val="none" w:sz="0" w:space="0" w:color="auto"/>
              </w:divBdr>
            </w:div>
            <w:div w:id="1557426049">
              <w:marLeft w:val="0"/>
              <w:marRight w:val="0"/>
              <w:marTop w:val="0"/>
              <w:marBottom w:val="0"/>
              <w:divBdr>
                <w:top w:val="none" w:sz="0" w:space="0" w:color="auto"/>
                <w:left w:val="none" w:sz="0" w:space="0" w:color="auto"/>
                <w:bottom w:val="none" w:sz="0" w:space="0" w:color="auto"/>
                <w:right w:val="none" w:sz="0" w:space="0" w:color="auto"/>
              </w:divBdr>
            </w:div>
            <w:div w:id="1847750739">
              <w:marLeft w:val="0"/>
              <w:marRight w:val="0"/>
              <w:marTop w:val="0"/>
              <w:marBottom w:val="0"/>
              <w:divBdr>
                <w:top w:val="none" w:sz="0" w:space="0" w:color="auto"/>
                <w:left w:val="none" w:sz="0" w:space="0" w:color="auto"/>
                <w:bottom w:val="none" w:sz="0" w:space="0" w:color="auto"/>
                <w:right w:val="none" w:sz="0" w:space="0" w:color="auto"/>
              </w:divBdr>
            </w:div>
            <w:div w:id="192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8611">
      <w:bodyDiv w:val="1"/>
      <w:marLeft w:val="0"/>
      <w:marRight w:val="0"/>
      <w:marTop w:val="0"/>
      <w:marBottom w:val="0"/>
      <w:divBdr>
        <w:top w:val="none" w:sz="0" w:space="0" w:color="auto"/>
        <w:left w:val="none" w:sz="0" w:space="0" w:color="auto"/>
        <w:bottom w:val="none" w:sz="0" w:space="0" w:color="auto"/>
        <w:right w:val="none" w:sz="0" w:space="0" w:color="auto"/>
      </w:divBdr>
    </w:div>
    <w:div w:id="1149520905">
      <w:bodyDiv w:val="1"/>
      <w:marLeft w:val="0"/>
      <w:marRight w:val="0"/>
      <w:marTop w:val="0"/>
      <w:marBottom w:val="0"/>
      <w:divBdr>
        <w:top w:val="none" w:sz="0" w:space="0" w:color="auto"/>
        <w:left w:val="none" w:sz="0" w:space="0" w:color="auto"/>
        <w:bottom w:val="none" w:sz="0" w:space="0" w:color="auto"/>
        <w:right w:val="none" w:sz="0" w:space="0" w:color="auto"/>
      </w:divBdr>
      <w:divsChild>
        <w:div w:id="433743674">
          <w:marLeft w:val="0"/>
          <w:marRight w:val="0"/>
          <w:marTop w:val="0"/>
          <w:marBottom w:val="0"/>
          <w:divBdr>
            <w:top w:val="none" w:sz="0" w:space="0" w:color="auto"/>
            <w:left w:val="none" w:sz="0" w:space="0" w:color="auto"/>
            <w:bottom w:val="none" w:sz="0" w:space="0" w:color="auto"/>
            <w:right w:val="none" w:sz="0" w:space="0" w:color="auto"/>
          </w:divBdr>
        </w:div>
        <w:div w:id="1308052482">
          <w:marLeft w:val="0"/>
          <w:marRight w:val="0"/>
          <w:marTop w:val="0"/>
          <w:marBottom w:val="0"/>
          <w:divBdr>
            <w:top w:val="none" w:sz="0" w:space="0" w:color="auto"/>
            <w:left w:val="none" w:sz="0" w:space="0" w:color="auto"/>
            <w:bottom w:val="none" w:sz="0" w:space="0" w:color="auto"/>
            <w:right w:val="none" w:sz="0" w:space="0" w:color="auto"/>
          </w:divBdr>
        </w:div>
        <w:div w:id="1749039887">
          <w:marLeft w:val="0"/>
          <w:marRight w:val="0"/>
          <w:marTop w:val="0"/>
          <w:marBottom w:val="0"/>
          <w:divBdr>
            <w:top w:val="none" w:sz="0" w:space="0" w:color="auto"/>
            <w:left w:val="none" w:sz="0" w:space="0" w:color="auto"/>
            <w:bottom w:val="none" w:sz="0" w:space="0" w:color="auto"/>
            <w:right w:val="none" w:sz="0" w:space="0" w:color="auto"/>
          </w:divBdr>
        </w:div>
      </w:divsChild>
    </w:div>
    <w:div w:id="1160466256">
      <w:bodyDiv w:val="1"/>
      <w:marLeft w:val="0"/>
      <w:marRight w:val="0"/>
      <w:marTop w:val="0"/>
      <w:marBottom w:val="0"/>
      <w:divBdr>
        <w:top w:val="none" w:sz="0" w:space="0" w:color="auto"/>
        <w:left w:val="none" w:sz="0" w:space="0" w:color="auto"/>
        <w:bottom w:val="none" w:sz="0" w:space="0" w:color="auto"/>
        <w:right w:val="none" w:sz="0" w:space="0" w:color="auto"/>
      </w:divBdr>
      <w:divsChild>
        <w:div w:id="1449347406">
          <w:marLeft w:val="0"/>
          <w:marRight w:val="0"/>
          <w:marTop w:val="0"/>
          <w:marBottom w:val="0"/>
          <w:divBdr>
            <w:top w:val="none" w:sz="0" w:space="0" w:color="auto"/>
            <w:left w:val="none" w:sz="0" w:space="0" w:color="auto"/>
            <w:bottom w:val="none" w:sz="0" w:space="0" w:color="auto"/>
            <w:right w:val="none" w:sz="0" w:space="0" w:color="auto"/>
          </w:divBdr>
        </w:div>
      </w:divsChild>
    </w:div>
    <w:div w:id="1287347039">
      <w:bodyDiv w:val="1"/>
      <w:marLeft w:val="0"/>
      <w:marRight w:val="0"/>
      <w:marTop w:val="0"/>
      <w:marBottom w:val="0"/>
      <w:divBdr>
        <w:top w:val="none" w:sz="0" w:space="0" w:color="auto"/>
        <w:left w:val="none" w:sz="0" w:space="0" w:color="auto"/>
        <w:bottom w:val="none" w:sz="0" w:space="0" w:color="auto"/>
        <w:right w:val="none" w:sz="0" w:space="0" w:color="auto"/>
      </w:divBdr>
    </w:div>
    <w:div w:id="1414013271">
      <w:bodyDiv w:val="1"/>
      <w:marLeft w:val="0"/>
      <w:marRight w:val="0"/>
      <w:marTop w:val="0"/>
      <w:marBottom w:val="0"/>
      <w:divBdr>
        <w:top w:val="none" w:sz="0" w:space="0" w:color="auto"/>
        <w:left w:val="none" w:sz="0" w:space="0" w:color="auto"/>
        <w:bottom w:val="none" w:sz="0" w:space="0" w:color="auto"/>
        <w:right w:val="none" w:sz="0" w:space="0" w:color="auto"/>
      </w:divBdr>
      <w:divsChild>
        <w:div w:id="357241215">
          <w:marLeft w:val="0"/>
          <w:marRight w:val="0"/>
          <w:marTop w:val="0"/>
          <w:marBottom w:val="0"/>
          <w:divBdr>
            <w:top w:val="none" w:sz="0" w:space="0" w:color="auto"/>
            <w:left w:val="none" w:sz="0" w:space="0" w:color="auto"/>
            <w:bottom w:val="none" w:sz="0" w:space="0" w:color="auto"/>
            <w:right w:val="none" w:sz="0" w:space="0" w:color="auto"/>
          </w:divBdr>
        </w:div>
        <w:div w:id="417947477">
          <w:marLeft w:val="0"/>
          <w:marRight w:val="0"/>
          <w:marTop w:val="0"/>
          <w:marBottom w:val="0"/>
          <w:divBdr>
            <w:top w:val="none" w:sz="0" w:space="0" w:color="auto"/>
            <w:left w:val="none" w:sz="0" w:space="0" w:color="auto"/>
            <w:bottom w:val="none" w:sz="0" w:space="0" w:color="auto"/>
            <w:right w:val="none" w:sz="0" w:space="0" w:color="auto"/>
          </w:divBdr>
        </w:div>
        <w:div w:id="536505907">
          <w:marLeft w:val="0"/>
          <w:marRight w:val="0"/>
          <w:marTop w:val="0"/>
          <w:marBottom w:val="0"/>
          <w:divBdr>
            <w:top w:val="none" w:sz="0" w:space="0" w:color="auto"/>
            <w:left w:val="none" w:sz="0" w:space="0" w:color="auto"/>
            <w:bottom w:val="none" w:sz="0" w:space="0" w:color="auto"/>
            <w:right w:val="none" w:sz="0" w:space="0" w:color="auto"/>
          </w:divBdr>
        </w:div>
        <w:div w:id="575749859">
          <w:marLeft w:val="0"/>
          <w:marRight w:val="0"/>
          <w:marTop w:val="0"/>
          <w:marBottom w:val="0"/>
          <w:divBdr>
            <w:top w:val="none" w:sz="0" w:space="0" w:color="auto"/>
            <w:left w:val="none" w:sz="0" w:space="0" w:color="auto"/>
            <w:bottom w:val="none" w:sz="0" w:space="0" w:color="auto"/>
            <w:right w:val="none" w:sz="0" w:space="0" w:color="auto"/>
          </w:divBdr>
        </w:div>
        <w:div w:id="771587919">
          <w:marLeft w:val="0"/>
          <w:marRight w:val="0"/>
          <w:marTop w:val="0"/>
          <w:marBottom w:val="0"/>
          <w:divBdr>
            <w:top w:val="none" w:sz="0" w:space="0" w:color="auto"/>
            <w:left w:val="none" w:sz="0" w:space="0" w:color="auto"/>
            <w:bottom w:val="none" w:sz="0" w:space="0" w:color="auto"/>
            <w:right w:val="none" w:sz="0" w:space="0" w:color="auto"/>
          </w:divBdr>
        </w:div>
        <w:div w:id="827021899">
          <w:marLeft w:val="0"/>
          <w:marRight w:val="0"/>
          <w:marTop w:val="0"/>
          <w:marBottom w:val="0"/>
          <w:divBdr>
            <w:top w:val="none" w:sz="0" w:space="0" w:color="auto"/>
            <w:left w:val="none" w:sz="0" w:space="0" w:color="auto"/>
            <w:bottom w:val="none" w:sz="0" w:space="0" w:color="auto"/>
            <w:right w:val="none" w:sz="0" w:space="0" w:color="auto"/>
          </w:divBdr>
        </w:div>
        <w:div w:id="835387755">
          <w:marLeft w:val="0"/>
          <w:marRight w:val="0"/>
          <w:marTop w:val="0"/>
          <w:marBottom w:val="0"/>
          <w:divBdr>
            <w:top w:val="none" w:sz="0" w:space="0" w:color="auto"/>
            <w:left w:val="none" w:sz="0" w:space="0" w:color="auto"/>
            <w:bottom w:val="none" w:sz="0" w:space="0" w:color="auto"/>
            <w:right w:val="none" w:sz="0" w:space="0" w:color="auto"/>
          </w:divBdr>
        </w:div>
        <w:div w:id="1048529903">
          <w:marLeft w:val="0"/>
          <w:marRight w:val="0"/>
          <w:marTop w:val="0"/>
          <w:marBottom w:val="0"/>
          <w:divBdr>
            <w:top w:val="none" w:sz="0" w:space="0" w:color="auto"/>
            <w:left w:val="none" w:sz="0" w:space="0" w:color="auto"/>
            <w:bottom w:val="none" w:sz="0" w:space="0" w:color="auto"/>
            <w:right w:val="none" w:sz="0" w:space="0" w:color="auto"/>
          </w:divBdr>
        </w:div>
        <w:div w:id="1053622754">
          <w:marLeft w:val="0"/>
          <w:marRight w:val="0"/>
          <w:marTop w:val="0"/>
          <w:marBottom w:val="0"/>
          <w:divBdr>
            <w:top w:val="none" w:sz="0" w:space="0" w:color="auto"/>
            <w:left w:val="none" w:sz="0" w:space="0" w:color="auto"/>
            <w:bottom w:val="none" w:sz="0" w:space="0" w:color="auto"/>
            <w:right w:val="none" w:sz="0" w:space="0" w:color="auto"/>
          </w:divBdr>
        </w:div>
        <w:div w:id="1112475157">
          <w:marLeft w:val="0"/>
          <w:marRight w:val="0"/>
          <w:marTop w:val="0"/>
          <w:marBottom w:val="0"/>
          <w:divBdr>
            <w:top w:val="none" w:sz="0" w:space="0" w:color="auto"/>
            <w:left w:val="none" w:sz="0" w:space="0" w:color="auto"/>
            <w:bottom w:val="none" w:sz="0" w:space="0" w:color="auto"/>
            <w:right w:val="none" w:sz="0" w:space="0" w:color="auto"/>
          </w:divBdr>
        </w:div>
        <w:div w:id="1703162947">
          <w:marLeft w:val="0"/>
          <w:marRight w:val="0"/>
          <w:marTop w:val="0"/>
          <w:marBottom w:val="0"/>
          <w:divBdr>
            <w:top w:val="none" w:sz="0" w:space="0" w:color="auto"/>
            <w:left w:val="none" w:sz="0" w:space="0" w:color="auto"/>
            <w:bottom w:val="none" w:sz="0" w:space="0" w:color="auto"/>
            <w:right w:val="none" w:sz="0" w:space="0" w:color="auto"/>
          </w:divBdr>
        </w:div>
        <w:div w:id="1720284579">
          <w:marLeft w:val="0"/>
          <w:marRight w:val="0"/>
          <w:marTop w:val="0"/>
          <w:marBottom w:val="0"/>
          <w:divBdr>
            <w:top w:val="none" w:sz="0" w:space="0" w:color="auto"/>
            <w:left w:val="none" w:sz="0" w:space="0" w:color="auto"/>
            <w:bottom w:val="none" w:sz="0" w:space="0" w:color="auto"/>
            <w:right w:val="none" w:sz="0" w:space="0" w:color="auto"/>
          </w:divBdr>
        </w:div>
        <w:div w:id="1879389634">
          <w:marLeft w:val="0"/>
          <w:marRight w:val="0"/>
          <w:marTop w:val="0"/>
          <w:marBottom w:val="0"/>
          <w:divBdr>
            <w:top w:val="none" w:sz="0" w:space="0" w:color="auto"/>
            <w:left w:val="none" w:sz="0" w:space="0" w:color="auto"/>
            <w:bottom w:val="none" w:sz="0" w:space="0" w:color="auto"/>
            <w:right w:val="none" w:sz="0" w:space="0" w:color="auto"/>
          </w:divBdr>
        </w:div>
        <w:div w:id="2040692550">
          <w:marLeft w:val="0"/>
          <w:marRight w:val="0"/>
          <w:marTop w:val="0"/>
          <w:marBottom w:val="0"/>
          <w:divBdr>
            <w:top w:val="none" w:sz="0" w:space="0" w:color="auto"/>
            <w:left w:val="none" w:sz="0" w:space="0" w:color="auto"/>
            <w:bottom w:val="none" w:sz="0" w:space="0" w:color="auto"/>
            <w:right w:val="none" w:sz="0" w:space="0" w:color="auto"/>
          </w:divBdr>
        </w:div>
        <w:div w:id="2101678073">
          <w:marLeft w:val="0"/>
          <w:marRight w:val="0"/>
          <w:marTop w:val="0"/>
          <w:marBottom w:val="0"/>
          <w:divBdr>
            <w:top w:val="none" w:sz="0" w:space="0" w:color="auto"/>
            <w:left w:val="none" w:sz="0" w:space="0" w:color="auto"/>
            <w:bottom w:val="none" w:sz="0" w:space="0" w:color="auto"/>
            <w:right w:val="none" w:sz="0" w:space="0" w:color="auto"/>
          </w:divBdr>
        </w:div>
      </w:divsChild>
    </w:div>
    <w:div w:id="1670987523">
      <w:bodyDiv w:val="1"/>
      <w:marLeft w:val="0"/>
      <w:marRight w:val="0"/>
      <w:marTop w:val="0"/>
      <w:marBottom w:val="0"/>
      <w:divBdr>
        <w:top w:val="none" w:sz="0" w:space="0" w:color="auto"/>
        <w:left w:val="none" w:sz="0" w:space="0" w:color="auto"/>
        <w:bottom w:val="none" w:sz="0" w:space="0" w:color="auto"/>
        <w:right w:val="none" w:sz="0" w:space="0" w:color="auto"/>
      </w:divBdr>
    </w:div>
    <w:div w:id="1686856919">
      <w:bodyDiv w:val="1"/>
      <w:marLeft w:val="0"/>
      <w:marRight w:val="0"/>
      <w:marTop w:val="0"/>
      <w:marBottom w:val="0"/>
      <w:divBdr>
        <w:top w:val="none" w:sz="0" w:space="0" w:color="auto"/>
        <w:left w:val="none" w:sz="0" w:space="0" w:color="auto"/>
        <w:bottom w:val="none" w:sz="0" w:space="0" w:color="auto"/>
        <w:right w:val="none" w:sz="0" w:space="0" w:color="auto"/>
      </w:divBdr>
    </w:div>
    <w:div w:id="1825658933">
      <w:bodyDiv w:val="1"/>
      <w:marLeft w:val="0"/>
      <w:marRight w:val="0"/>
      <w:marTop w:val="0"/>
      <w:marBottom w:val="0"/>
      <w:divBdr>
        <w:top w:val="none" w:sz="0" w:space="0" w:color="auto"/>
        <w:left w:val="none" w:sz="0" w:space="0" w:color="auto"/>
        <w:bottom w:val="none" w:sz="0" w:space="0" w:color="auto"/>
        <w:right w:val="none" w:sz="0" w:space="0" w:color="auto"/>
      </w:divBdr>
    </w:div>
    <w:div w:id="1833789024">
      <w:bodyDiv w:val="1"/>
      <w:marLeft w:val="0"/>
      <w:marRight w:val="0"/>
      <w:marTop w:val="0"/>
      <w:marBottom w:val="0"/>
      <w:divBdr>
        <w:top w:val="none" w:sz="0" w:space="0" w:color="auto"/>
        <w:left w:val="none" w:sz="0" w:space="0" w:color="auto"/>
        <w:bottom w:val="none" w:sz="0" w:space="0" w:color="auto"/>
        <w:right w:val="none" w:sz="0" w:space="0" w:color="auto"/>
      </w:divBdr>
    </w:div>
    <w:div w:id="1896967598">
      <w:bodyDiv w:val="1"/>
      <w:marLeft w:val="0"/>
      <w:marRight w:val="0"/>
      <w:marTop w:val="0"/>
      <w:marBottom w:val="0"/>
      <w:divBdr>
        <w:top w:val="none" w:sz="0" w:space="0" w:color="auto"/>
        <w:left w:val="none" w:sz="0" w:space="0" w:color="auto"/>
        <w:bottom w:val="none" w:sz="0" w:space="0" w:color="auto"/>
        <w:right w:val="none" w:sz="0" w:space="0" w:color="auto"/>
      </w:divBdr>
    </w:div>
    <w:div w:id="1983195832">
      <w:bodyDiv w:val="1"/>
      <w:marLeft w:val="0"/>
      <w:marRight w:val="0"/>
      <w:marTop w:val="0"/>
      <w:marBottom w:val="0"/>
      <w:divBdr>
        <w:top w:val="none" w:sz="0" w:space="0" w:color="auto"/>
        <w:left w:val="none" w:sz="0" w:space="0" w:color="auto"/>
        <w:bottom w:val="none" w:sz="0" w:space="0" w:color="auto"/>
        <w:right w:val="none" w:sz="0" w:space="0" w:color="auto"/>
      </w:divBdr>
      <w:divsChild>
        <w:div w:id="1480536307">
          <w:marLeft w:val="0"/>
          <w:marRight w:val="0"/>
          <w:marTop w:val="0"/>
          <w:marBottom w:val="0"/>
          <w:divBdr>
            <w:top w:val="none" w:sz="0" w:space="0" w:color="auto"/>
            <w:left w:val="none" w:sz="0" w:space="0" w:color="auto"/>
            <w:bottom w:val="none" w:sz="0" w:space="0" w:color="auto"/>
            <w:right w:val="none" w:sz="0" w:space="0" w:color="auto"/>
          </w:divBdr>
          <w:divsChild>
            <w:div w:id="998583695">
              <w:marLeft w:val="0"/>
              <w:marRight w:val="0"/>
              <w:marTop w:val="0"/>
              <w:marBottom w:val="0"/>
              <w:divBdr>
                <w:top w:val="none" w:sz="0" w:space="0" w:color="auto"/>
                <w:left w:val="none" w:sz="0" w:space="0" w:color="auto"/>
                <w:bottom w:val="none" w:sz="0" w:space="0" w:color="auto"/>
                <w:right w:val="none" w:sz="0" w:space="0" w:color="auto"/>
              </w:divBdr>
              <w:divsChild>
                <w:div w:id="668363261">
                  <w:marLeft w:val="0"/>
                  <w:marRight w:val="0"/>
                  <w:marTop w:val="0"/>
                  <w:marBottom w:val="0"/>
                  <w:divBdr>
                    <w:top w:val="none" w:sz="0" w:space="0" w:color="auto"/>
                    <w:left w:val="none" w:sz="0" w:space="0" w:color="auto"/>
                    <w:bottom w:val="none" w:sz="0" w:space="0" w:color="auto"/>
                    <w:right w:val="none" w:sz="0" w:space="0" w:color="auto"/>
                  </w:divBdr>
                  <w:divsChild>
                    <w:div w:id="566770696">
                      <w:marLeft w:val="0"/>
                      <w:marRight w:val="0"/>
                      <w:marTop w:val="0"/>
                      <w:marBottom w:val="0"/>
                      <w:divBdr>
                        <w:top w:val="none" w:sz="0" w:space="0" w:color="auto"/>
                        <w:left w:val="none" w:sz="0" w:space="0" w:color="auto"/>
                        <w:bottom w:val="none" w:sz="0" w:space="0" w:color="auto"/>
                        <w:right w:val="none" w:sz="0" w:space="0" w:color="auto"/>
                      </w:divBdr>
                      <w:divsChild>
                        <w:div w:id="664551950">
                          <w:marLeft w:val="0"/>
                          <w:marRight w:val="0"/>
                          <w:marTop w:val="0"/>
                          <w:marBottom w:val="0"/>
                          <w:divBdr>
                            <w:top w:val="none" w:sz="0" w:space="0" w:color="auto"/>
                            <w:left w:val="none" w:sz="0" w:space="0" w:color="auto"/>
                            <w:bottom w:val="none" w:sz="0" w:space="0" w:color="auto"/>
                            <w:right w:val="none" w:sz="0" w:space="0" w:color="auto"/>
                          </w:divBdr>
                          <w:divsChild>
                            <w:div w:id="121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tupras.com.tr/" TargetMode="External"/><Relationship Id="rId26" Type="http://schemas.openxmlformats.org/officeDocument/2006/relationships/hyperlink" Target="http://www.oib.gov.tr/" TargetMode="External"/><Relationship Id="rId3" Type="http://schemas.openxmlformats.org/officeDocument/2006/relationships/styles" Target="styles.xml"/><Relationship Id="rId21" Type="http://schemas.openxmlformats.org/officeDocument/2006/relationships/hyperlink" Target="http://www.enerji.gov.t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igm.gov.tr/" TargetMode="External"/><Relationship Id="rId25" Type="http://schemas.openxmlformats.org/officeDocument/2006/relationships/hyperlink" Target="http://www.rekabet.gov.tr/" TargetMode="External"/><Relationship Id="rId2" Type="http://schemas.openxmlformats.org/officeDocument/2006/relationships/numbering" Target="numbering.xml"/><Relationship Id="rId16" Type="http://schemas.openxmlformats.org/officeDocument/2006/relationships/hyperlink" Target="http://www.invest.gov.tr/" TargetMode="External"/><Relationship Id="rId20" Type="http://schemas.openxmlformats.org/officeDocument/2006/relationships/hyperlink" Target="http://www.botas.gov.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tpjd.org.tr/" TargetMode="External"/><Relationship Id="rId5" Type="http://schemas.openxmlformats.org/officeDocument/2006/relationships/webSettings" Target="webSettings.xml"/><Relationship Id="rId15" Type="http://schemas.openxmlformats.org/officeDocument/2006/relationships/hyperlink" Target="http://www.emra.org.tr" TargetMode="External"/><Relationship Id="rId23" Type="http://schemas.openxmlformats.org/officeDocument/2006/relationships/hyperlink" Target="http://www.petform.org.tr/" TargetMode="External"/><Relationship Id="rId28" Type="http://schemas.openxmlformats.org/officeDocument/2006/relationships/fontTable" Target="fontTable.xml"/><Relationship Id="rId10" Type="http://schemas.openxmlformats.org/officeDocument/2006/relationships/image" Target="cid:image001.jpg@01C88468.47DF4960" TargetMode="External"/><Relationship Id="rId19" Type="http://schemas.openxmlformats.org/officeDocument/2006/relationships/hyperlink" Target="http://www.tpao.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epdk.gov.t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vest.gov.t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nkaymaz\Local%20Settings\Temp\turkey-oil_prod_vs_consump-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71267670769735"/>
          <c:y val="0.14285741217990675"/>
          <c:w val="0.78620866156757763"/>
          <c:h val="0.59073470441961362"/>
        </c:manualLayout>
      </c:layout>
      <c:lineChart>
        <c:grouping val="standard"/>
        <c:ser>
          <c:idx val="0"/>
          <c:order val="0"/>
          <c:spPr>
            <a:ln>
              <a:solidFill>
                <a:srgbClr val="FF0000"/>
              </a:solidFill>
            </a:ln>
          </c:spPr>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Sheet1!$B$4:$W$4</c:f>
              <c:numCache>
                <c:formatCode>#,##0.00</c:formatCode>
                <c:ptCount val="22"/>
                <c:pt idx="0">
                  <c:v>0.4567149910000004</c:v>
                </c:pt>
                <c:pt idx="1">
                  <c:v>0.29712481100000043</c:v>
                </c:pt>
                <c:pt idx="2">
                  <c:v>9.9167018000000107E-2</c:v>
                </c:pt>
                <c:pt idx="3">
                  <c:v>0.17382183800000001</c:v>
                </c:pt>
                <c:pt idx="4">
                  <c:v>0.21248808600000024</c:v>
                </c:pt>
                <c:pt idx="5">
                  <c:v>0.20271330700000018</c:v>
                </c:pt>
                <c:pt idx="6">
                  <c:v>0.19779615400000031</c:v>
                </c:pt>
                <c:pt idx="7">
                  <c:v>0.20086057799999987</c:v>
                </c:pt>
                <c:pt idx="8">
                  <c:v>0.19953491200000018</c:v>
                </c:pt>
                <c:pt idx="9">
                  <c:v>0.18226220100000023</c:v>
                </c:pt>
                <c:pt idx="10">
                  <c:v>0.20559205799999999</c:v>
                </c:pt>
                <c:pt idx="11">
                  <c:v>0.25321583199999997</c:v>
                </c:pt>
                <c:pt idx="12">
                  <c:v>0.56454133900000003</c:v>
                </c:pt>
                <c:pt idx="13">
                  <c:v>0.73109872700000056</c:v>
                </c:pt>
                <c:pt idx="14">
                  <c:v>0.63922296899999997</c:v>
                </c:pt>
                <c:pt idx="15">
                  <c:v>0.31156254500000041</c:v>
                </c:pt>
                <c:pt idx="16">
                  <c:v>0.3784027380000004</c:v>
                </c:pt>
                <c:pt idx="17">
                  <c:v>0.56063351100000003</c:v>
                </c:pt>
                <c:pt idx="18">
                  <c:v>0.70700876300000004</c:v>
                </c:pt>
                <c:pt idx="19">
                  <c:v>0.89642495000000055</c:v>
                </c:pt>
                <c:pt idx="20">
                  <c:v>0.90658797399999957</c:v>
                </c:pt>
                <c:pt idx="21" formatCode="0.00">
                  <c:v>0.89305500000000082</c:v>
                </c:pt>
              </c:numCache>
            </c:numRef>
          </c:val>
        </c:ser>
        <c:ser>
          <c:idx val="1"/>
          <c:order val="1"/>
          <c:spPr>
            <a:ln>
              <a:solidFill>
                <a:srgbClr val="0000FF"/>
              </a:solidFill>
            </a:ln>
          </c:spPr>
          <c:marker>
            <c:symbol val="none"/>
          </c:marker>
          <c:cat>
            <c:numRef>
              <c:f>Sheet1!$B$3:$W$3</c:f>
              <c:numCache>
                <c:formatCode>General</c:formatCode>
                <c:ptCount val="22"/>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Sheet1!$B$5:$W$5</c:f>
              <c:numCache>
                <c:formatCode>0.00</c:formatCode>
                <c:ptCount val="22"/>
                <c:pt idx="0">
                  <c:v>0.45306954547200001</c:v>
                </c:pt>
                <c:pt idx="1">
                  <c:v>0.73623801139200062</c:v>
                </c:pt>
                <c:pt idx="2">
                  <c:v>1.2176244034559982</c:v>
                </c:pt>
                <c:pt idx="3">
                  <c:v>3.2281205114880023</c:v>
                </c:pt>
                <c:pt idx="4">
                  <c:v>3.4688137075200012</c:v>
                </c:pt>
                <c:pt idx="5">
                  <c:v>4.2362002501632023</c:v>
                </c:pt>
                <c:pt idx="6">
                  <c:v>4.6326361024512002</c:v>
                </c:pt>
                <c:pt idx="7">
                  <c:v>5.1508343950848001</c:v>
                </c:pt>
                <c:pt idx="8">
                  <c:v>5.4453295996416076</c:v>
                </c:pt>
                <c:pt idx="9">
                  <c:v>7.0282413241344024</c:v>
                </c:pt>
                <c:pt idx="10">
                  <c:v>8.2147171963392012</c:v>
                </c:pt>
                <c:pt idx="11">
                  <c:v>9.8004606054912067</c:v>
                </c:pt>
                <c:pt idx="12">
                  <c:v>10.349807429376</c:v>
                </c:pt>
                <c:pt idx="13">
                  <c:v>12.527372932300798</c:v>
                </c:pt>
                <c:pt idx="14">
                  <c:v>14.835195929548808</c:v>
                </c:pt>
                <c:pt idx="15">
                  <c:v>15.945216315955211</c:v>
                </c:pt>
                <c:pt idx="16">
                  <c:v>17.587593418291203</c:v>
                </c:pt>
                <c:pt idx="17">
                  <c:v>21.181001250815999</c:v>
                </c:pt>
                <c:pt idx="18">
                  <c:v>22.443932608819189</c:v>
                </c:pt>
                <c:pt idx="19">
                  <c:v>27.373895600486435</c:v>
                </c:pt>
                <c:pt idx="20">
                  <c:v>31.182511467110405</c:v>
                </c:pt>
                <c:pt idx="21">
                  <c:v>34.5</c:v>
                </c:pt>
              </c:numCache>
            </c:numRef>
          </c:val>
        </c:ser>
        <c:marker val="1"/>
        <c:axId val="78410880"/>
        <c:axId val="78412416"/>
      </c:lineChart>
      <c:catAx>
        <c:axId val="78410880"/>
        <c:scaling>
          <c:orientation val="minMax"/>
        </c:scaling>
        <c:axPos val="b"/>
        <c:numFmt formatCode="General" sourceLinked="1"/>
        <c:tickLblPos val="nextTo"/>
        <c:txPr>
          <a:bodyPr rot="0" vert="horz"/>
          <a:lstStyle/>
          <a:p>
            <a:pPr>
              <a:defRPr lang="tr-TR"/>
            </a:pPr>
            <a:endParaRPr lang="en-US"/>
          </a:p>
        </c:txPr>
        <c:crossAx val="78412416"/>
        <c:crosses val="autoZero"/>
        <c:auto val="1"/>
        <c:lblAlgn val="ctr"/>
        <c:lblOffset val="100"/>
        <c:tickLblSkip val="3"/>
        <c:tickMarkSkip val="1"/>
      </c:catAx>
      <c:valAx>
        <c:axId val="78412416"/>
        <c:scaling>
          <c:orientation val="minMax"/>
        </c:scaling>
        <c:axPos val="l"/>
        <c:title>
          <c:tx>
            <c:rich>
              <a:bodyPr/>
              <a:lstStyle/>
              <a:p>
                <a:pPr>
                  <a:defRPr lang="tr-TR"/>
                </a:pPr>
                <a:r>
                  <a:rPr lang="tr-TR" sz="900" b="0"/>
                  <a:t>Billion m</a:t>
                </a:r>
                <a:r>
                  <a:rPr lang="tr-TR" sz="900" b="0" baseline="30000"/>
                  <a:t>3</a:t>
                </a:r>
              </a:p>
            </c:rich>
          </c:tx>
          <c:layout>
            <c:manualLayout>
              <c:xMode val="edge"/>
              <c:yMode val="edge"/>
              <c:x val="3.1244202183772784E-2"/>
              <c:y val="0.37065673503775043"/>
            </c:manualLayout>
          </c:layout>
        </c:title>
        <c:numFmt formatCode="#,##0" sourceLinked="0"/>
        <c:tickLblPos val="nextTo"/>
        <c:txPr>
          <a:bodyPr rot="0" vert="horz"/>
          <a:lstStyle/>
          <a:p>
            <a:pPr>
              <a:defRPr lang="tr-TR"/>
            </a:pPr>
            <a:endParaRPr lang="en-US"/>
          </a:p>
        </c:txPr>
        <c:crossAx val="78410880"/>
        <c:crosses val="autoZero"/>
        <c:crossBetween val="midCat"/>
        <c:majorUnit val="5"/>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0.01147</cdr:x>
      <cdr:y>0.86154</cdr:y>
    </cdr:from>
    <cdr:to>
      <cdr:x>1</cdr:x>
      <cdr:y>0.92308</cdr:y>
    </cdr:to>
    <cdr:sp macro="" textlink="">
      <cdr:nvSpPr>
        <cdr:cNvPr id="2051" name="Text Box 3"/>
        <cdr:cNvSpPr txBox="1">
          <a:spLocks xmlns:a="http://schemas.openxmlformats.org/drawingml/2006/main" noChangeArrowheads="1"/>
        </cdr:cNvSpPr>
      </cdr:nvSpPr>
      <cdr:spPr bwMode="auto">
        <a:xfrm xmlns:a="http://schemas.openxmlformats.org/drawingml/2006/main">
          <a:off x="50021" y="2166428"/>
          <a:ext cx="4310963" cy="15474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1" strike="noStrike">
              <a:solidFill>
                <a:srgbClr val="000000"/>
              </a:solidFill>
              <a:latin typeface="+mn-lt"/>
              <a:cs typeface="Arial"/>
            </a:rPr>
            <a:t>Source: </a:t>
          </a:r>
          <a:r>
            <a:rPr lang="tr-TR" sz="800" b="1" i="1" strike="noStrike" baseline="0">
              <a:solidFill>
                <a:srgbClr val="000000"/>
              </a:solidFill>
              <a:latin typeface="+mn-lt"/>
              <a:cs typeface="Arial"/>
            </a:rPr>
            <a:t> </a:t>
          </a:r>
          <a:r>
            <a:rPr lang="tr-TR" sz="800" b="0" i="0" strike="noStrike" baseline="0">
              <a:solidFill>
                <a:srgbClr val="000000"/>
              </a:solidFill>
              <a:latin typeface="+mn-lt"/>
              <a:cs typeface="Arial"/>
            </a:rPr>
            <a:t>General Directorate of Petroleum Affairs ,and Petroleum Pipeline Corporation (BOTAS)</a:t>
          </a:r>
          <a:endParaRPr lang="tr-TR" sz="800" b="0" i="1" strike="noStrike">
            <a:solidFill>
              <a:srgbClr val="000000"/>
            </a:solidFill>
            <a:latin typeface="+mn-lt"/>
            <a:cs typeface="Arial"/>
          </a:endParaRPr>
        </a:p>
      </cdr:txBody>
    </cdr:sp>
  </cdr:relSizeAnchor>
  <cdr:relSizeAnchor xmlns:cdr="http://schemas.openxmlformats.org/drawingml/2006/chartDrawing">
    <cdr:from>
      <cdr:x>0.62848</cdr:x>
      <cdr:y>0.62716</cdr:y>
    </cdr:from>
    <cdr:to>
      <cdr:x>0.86518</cdr:x>
      <cdr:y>0.68486</cdr:y>
    </cdr:to>
    <cdr:sp macro="" textlink="">
      <cdr:nvSpPr>
        <cdr:cNvPr id="2052" name="Text Box 4"/>
        <cdr:cNvSpPr txBox="1">
          <a:spLocks xmlns:a="http://schemas.openxmlformats.org/drawingml/2006/main" noChangeArrowheads="1"/>
        </cdr:cNvSpPr>
      </cdr:nvSpPr>
      <cdr:spPr bwMode="auto">
        <a:xfrm xmlns:a="http://schemas.openxmlformats.org/drawingml/2006/main">
          <a:off x="2613206" y="1556345"/>
          <a:ext cx="982966" cy="1428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0" strike="noStrike">
              <a:solidFill>
                <a:srgbClr val="FF0000"/>
              </a:solidFill>
              <a:latin typeface="Arial"/>
              <a:cs typeface="Arial"/>
            </a:rPr>
            <a:t>Production</a:t>
          </a:r>
        </a:p>
      </cdr:txBody>
    </cdr:sp>
  </cdr:relSizeAnchor>
  <cdr:relSizeAnchor xmlns:cdr="http://schemas.openxmlformats.org/drawingml/2006/chartDrawing">
    <cdr:from>
      <cdr:x>0.6381</cdr:x>
      <cdr:y>0.27303</cdr:y>
    </cdr:from>
    <cdr:to>
      <cdr:x>0.85061</cdr:x>
      <cdr:y>0.33818</cdr:y>
    </cdr:to>
    <cdr:sp macro="" textlink="">
      <cdr:nvSpPr>
        <cdr:cNvPr id="2053" name="Text Box 5"/>
        <cdr:cNvSpPr txBox="1">
          <a:spLocks xmlns:a="http://schemas.openxmlformats.org/drawingml/2006/main" noChangeArrowheads="1"/>
        </cdr:cNvSpPr>
      </cdr:nvSpPr>
      <cdr:spPr bwMode="auto">
        <a:xfrm xmlns:a="http://schemas.openxmlformats.org/drawingml/2006/main">
          <a:off x="2607008" y="674081"/>
          <a:ext cx="868229" cy="1608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tr-TR" sz="800" b="1" i="0" strike="noStrike">
              <a:solidFill>
                <a:srgbClr val="0000FF"/>
              </a:solidFill>
              <a:latin typeface="Arial"/>
              <a:cs typeface="Arial"/>
            </a:rPr>
            <a:t>Consumption</a:t>
          </a:r>
        </a:p>
      </cdr:txBody>
    </cdr:sp>
  </cdr:relSizeAnchor>
  <cdr:relSizeAnchor xmlns:cdr="http://schemas.openxmlformats.org/drawingml/2006/chartDrawing">
    <cdr:from>
      <cdr:x>0.9499</cdr:x>
      <cdr:y>0.2945</cdr:y>
    </cdr:from>
    <cdr:to>
      <cdr:x>1</cdr:x>
      <cdr:y>0.6343</cdr:y>
    </cdr:to>
    <cdr:sp macro="" textlink="">
      <cdr:nvSpPr>
        <cdr:cNvPr id="11" name="Text Box 3"/>
        <cdr:cNvSpPr txBox="1">
          <a:spLocks xmlns:a="http://schemas.openxmlformats.org/drawingml/2006/main" noChangeArrowheads="1"/>
        </cdr:cNvSpPr>
      </cdr:nvSpPr>
      <cdr:spPr bwMode="auto">
        <a:xfrm xmlns:a="http://schemas.openxmlformats.org/drawingml/2006/main">
          <a:off x="4167554" y="800100"/>
          <a:ext cx="219807" cy="92319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vert270"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000"/>
          </a:pPr>
          <a:r>
            <a:rPr lang="tr-TR" sz="900" b="0" i="0" strike="noStrike">
              <a:solidFill>
                <a:srgbClr val="000000"/>
              </a:solidFill>
              <a:latin typeface="Calibri"/>
              <a:cs typeface="Arial"/>
            </a:rPr>
            <a:t>Imported</a:t>
          </a:r>
        </a:p>
      </cdr:txBody>
    </cdr:sp>
  </cdr:relSizeAnchor>
  <cdr:relSizeAnchor xmlns:cdr="http://schemas.openxmlformats.org/drawingml/2006/chartDrawing">
    <cdr:from>
      <cdr:x>2.34991E-7</cdr:x>
      <cdr:y>0</cdr:y>
    </cdr:from>
    <cdr:to>
      <cdr:x>1</cdr:x>
      <cdr:y>0.13636</cdr:y>
    </cdr:to>
    <cdr:sp macro="" textlink="">
      <cdr:nvSpPr>
        <cdr:cNvPr id="12" name="Text Box 3"/>
        <cdr:cNvSpPr txBox="1">
          <a:spLocks xmlns:a="http://schemas.openxmlformats.org/drawingml/2006/main" noChangeArrowheads="1"/>
        </cdr:cNvSpPr>
      </cdr:nvSpPr>
      <cdr:spPr bwMode="auto">
        <a:xfrm xmlns:a="http://schemas.openxmlformats.org/drawingml/2006/main">
          <a:off x="1" y="0"/>
          <a:ext cx="4255475" cy="342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rtl="0">
            <a:defRPr sz="1800" b="1" i="0" u="none" strike="noStrike" kern="1200" baseline="0">
              <a:solidFill>
                <a:sysClr val="windowText" lastClr="000000"/>
              </a:solidFill>
              <a:latin typeface="+mn-lt"/>
              <a:ea typeface="+mn-ea"/>
              <a:cs typeface="+mn-cs"/>
            </a:defRPr>
          </a:pPr>
          <a:r>
            <a:rPr lang="tr-TR" sz="1050" b="1" i="0" u="none" strike="noStrike" kern="1200" baseline="0">
              <a:solidFill>
                <a:sysClr val="windowText" lastClr="000000"/>
              </a:solidFill>
              <a:latin typeface="+mn-lt"/>
              <a:ea typeface="+mn-ea"/>
              <a:cs typeface="+mn-cs"/>
            </a:rPr>
            <a:t>Turkey's Natural Gas Production and Consumption 1986-2007 (Annual)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BADC-83E0-41DD-84B7-507F86CF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10578</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70738</CharactersWithSpaces>
  <SharedDoc>false</SharedDoc>
  <HLinks>
    <vt:vector size="84" baseType="variant">
      <vt:variant>
        <vt:i4>3932192</vt:i4>
      </vt:variant>
      <vt:variant>
        <vt:i4>33</vt:i4>
      </vt:variant>
      <vt:variant>
        <vt:i4>0</vt:i4>
      </vt:variant>
      <vt:variant>
        <vt:i4>5</vt:i4>
      </vt:variant>
      <vt:variant>
        <vt:lpwstr>http://www.emra.org.tr/</vt:lpwstr>
      </vt:variant>
      <vt:variant>
        <vt:lpwstr/>
      </vt:variant>
      <vt:variant>
        <vt:i4>3604512</vt:i4>
      </vt:variant>
      <vt:variant>
        <vt:i4>30</vt:i4>
      </vt:variant>
      <vt:variant>
        <vt:i4>0</vt:i4>
      </vt:variant>
      <vt:variant>
        <vt:i4>5</vt:i4>
      </vt:variant>
      <vt:variant>
        <vt:lpwstr>http://www.botas.gov.tr/icerik/eng/faaliyetler/dogalgaz/boruhatti/anlasmalar/azerbaycan.asp</vt:lpwstr>
      </vt:variant>
      <vt:variant>
        <vt:lpwstr/>
      </vt:variant>
      <vt:variant>
        <vt:i4>6160460</vt:i4>
      </vt:variant>
      <vt:variant>
        <vt:i4>27</vt:i4>
      </vt:variant>
      <vt:variant>
        <vt:i4>0</vt:i4>
      </vt:variant>
      <vt:variant>
        <vt:i4>5</vt:i4>
      </vt:variant>
      <vt:variant>
        <vt:lpwstr>http://www.botas.gov.tr/icerik/eng/faaliyetler/dogalgaz/boruhatti/anlasmalar/turkmenistan.asp</vt:lpwstr>
      </vt:variant>
      <vt:variant>
        <vt:lpwstr/>
      </vt:variant>
      <vt:variant>
        <vt:i4>6619252</vt:i4>
      </vt:variant>
      <vt:variant>
        <vt:i4>24</vt:i4>
      </vt:variant>
      <vt:variant>
        <vt:i4>0</vt:i4>
      </vt:variant>
      <vt:variant>
        <vt:i4>5</vt:i4>
      </vt:variant>
      <vt:variant>
        <vt:lpwstr>http://www.botas.gov.tr/icerik/eng/faaliyetler/dogalgaz/boruhatti/anlasmalar/rusya.asp</vt:lpwstr>
      </vt:variant>
      <vt:variant>
        <vt:lpwstr/>
      </vt:variant>
      <vt:variant>
        <vt:i4>6619252</vt:i4>
      </vt:variant>
      <vt:variant>
        <vt:i4>21</vt:i4>
      </vt:variant>
      <vt:variant>
        <vt:i4>0</vt:i4>
      </vt:variant>
      <vt:variant>
        <vt:i4>5</vt:i4>
      </vt:variant>
      <vt:variant>
        <vt:lpwstr>http://www.botas.gov.tr/icerik/eng/faaliyetler/dogalgaz/boruhatti/anlasmalar/rusya.asp</vt:lpwstr>
      </vt:variant>
      <vt:variant>
        <vt:lpwstr/>
      </vt:variant>
      <vt:variant>
        <vt:i4>4259928</vt:i4>
      </vt:variant>
      <vt:variant>
        <vt:i4>18</vt:i4>
      </vt:variant>
      <vt:variant>
        <vt:i4>0</vt:i4>
      </vt:variant>
      <vt:variant>
        <vt:i4>5</vt:i4>
      </vt:variant>
      <vt:variant>
        <vt:lpwstr>http://www.botas.gov.tr/icerik/eng/faaliyetler/dogalgaz/boruhatti/anlasmalar/iran.asp</vt:lpwstr>
      </vt:variant>
      <vt:variant>
        <vt:lpwstr/>
      </vt:variant>
      <vt:variant>
        <vt:i4>1179661</vt:i4>
      </vt:variant>
      <vt:variant>
        <vt:i4>15</vt:i4>
      </vt:variant>
      <vt:variant>
        <vt:i4>0</vt:i4>
      </vt:variant>
      <vt:variant>
        <vt:i4>5</vt:i4>
      </vt:variant>
      <vt:variant>
        <vt:lpwstr>http://www.botas.gov.tr/icerik/eng/faaliyetler/dogalgaz/boruhatti/anlasmalar/nijerya.asp</vt:lpwstr>
      </vt:variant>
      <vt:variant>
        <vt:lpwstr/>
      </vt:variant>
      <vt:variant>
        <vt:i4>1507349</vt:i4>
      </vt:variant>
      <vt:variant>
        <vt:i4>12</vt:i4>
      </vt:variant>
      <vt:variant>
        <vt:i4>0</vt:i4>
      </vt:variant>
      <vt:variant>
        <vt:i4>5</vt:i4>
      </vt:variant>
      <vt:variant>
        <vt:lpwstr>http://www.botas.gov.tr/icerik/eng/faaliyetler/dogalgaz/boruhatti/anlasmalar/cezayir.asp</vt:lpwstr>
      </vt:variant>
      <vt:variant>
        <vt:lpwstr/>
      </vt:variant>
      <vt:variant>
        <vt:i4>6619252</vt:i4>
      </vt:variant>
      <vt:variant>
        <vt:i4>9</vt:i4>
      </vt:variant>
      <vt:variant>
        <vt:i4>0</vt:i4>
      </vt:variant>
      <vt:variant>
        <vt:i4>5</vt:i4>
      </vt:variant>
      <vt:variant>
        <vt:lpwstr>http://www.botas.gov.tr/icerik/eng/faaliyetler/dogalgaz/boruhatti/anlasmalar/rusya.asp</vt:lpwstr>
      </vt:variant>
      <vt:variant>
        <vt:lpwstr/>
      </vt:variant>
      <vt:variant>
        <vt:i4>2621549</vt:i4>
      </vt:variant>
      <vt:variant>
        <vt:i4>6</vt:i4>
      </vt:variant>
      <vt:variant>
        <vt:i4>0</vt:i4>
      </vt:variant>
      <vt:variant>
        <vt:i4>5</vt:i4>
      </vt:variant>
      <vt:variant>
        <vt:lpwstr>http://www.eia.doe.gov/emeu/cabs/Greece/NaturalGas.html</vt:lpwstr>
      </vt:variant>
      <vt:variant>
        <vt:lpwstr/>
      </vt:variant>
      <vt:variant>
        <vt:i4>2097267</vt:i4>
      </vt:variant>
      <vt:variant>
        <vt:i4>3</vt:i4>
      </vt:variant>
      <vt:variant>
        <vt:i4>0</vt:i4>
      </vt:variant>
      <vt:variant>
        <vt:i4>5</vt:i4>
      </vt:variant>
      <vt:variant>
        <vt:lpwstr>http://www.eia.doe.gov/emeu/cabs/Italy/NaturalGas.html</vt:lpwstr>
      </vt:variant>
      <vt:variant>
        <vt:lpwstr/>
      </vt:variant>
      <vt:variant>
        <vt:i4>6160464</vt:i4>
      </vt:variant>
      <vt:variant>
        <vt:i4>0</vt:i4>
      </vt:variant>
      <vt:variant>
        <vt:i4>0</vt:i4>
      </vt:variant>
      <vt:variant>
        <vt:i4>5</vt:i4>
      </vt:variant>
      <vt:variant>
        <vt:lpwstr>http://www.eia.doe.gov/emeu/cabs/Turkey/images/UNCLAS_GasPipesTo EUrope and SE Corridor_0806.pdf</vt:lpwstr>
      </vt:variant>
      <vt:variant>
        <vt:lpwstr/>
      </vt:variant>
      <vt:variant>
        <vt:i4>5898314</vt:i4>
      </vt:variant>
      <vt:variant>
        <vt:i4>0</vt:i4>
      </vt:variant>
      <vt:variant>
        <vt:i4>0</vt:i4>
      </vt:variant>
      <vt:variant>
        <vt:i4>5</vt:i4>
      </vt:variant>
      <vt:variant>
        <vt:lpwstr>http://www.invest.gov.tr/</vt:lpwstr>
      </vt:variant>
      <vt:variant>
        <vt:lpwstr/>
      </vt:variant>
      <vt:variant>
        <vt:i4>8257555</vt:i4>
      </vt:variant>
      <vt:variant>
        <vt:i4>137216</vt:i4>
      </vt:variant>
      <vt:variant>
        <vt:i4>1033</vt:i4>
      </vt:variant>
      <vt:variant>
        <vt:i4>1</vt:i4>
      </vt:variant>
      <vt:variant>
        <vt:lpwstr>cid:image001.jpg@01C88468.47DF4960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Kaymaz</dc:creator>
  <cp:keywords/>
  <dc:description/>
  <cp:lastModifiedBy>Fatih Altunyuva</cp:lastModifiedBy>
  <cp:revision>2</cp:revision>
  <dcterms:created xsi:type="dcterms:W3CDTF">2009-06-30T14:32:00Z</dcterms:created>
  <dcterms:modified xsi:type="dcterms:W3CDTF">2009-06-30T14:32:00Z</dcterms:modified>
</cp:coreProperties>
</file>