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D9" w:rsidRPr="008010AA" w:rsidRDefault="008010AA" w:rsidP="008010AA">
      <w:pPr>
        <w:spacing w:before="120" w:after="120" w:line="240" w:lineRule="auto"/>
        <w:jc w:val="center"/>
        <w:outlineLvl w:val="3"/>
        <w:rPr>
          <w:b/>
          <w:sz w:val="28"/>
          <w:szCs w:val="28"/>
          <w:u w:val="single"/>
        </w:rPr>
      </w:pPr>
      <w:r w:rsidRPr="008010AA">
        <w:rPr>
          <w:b/>
          <w:sz w:val="28"/>
          <w:szCs w:val="28"/>
          <w:u w:val="single"/>
        </w:rPr>
        <w:t>AMENDMENTS MADE TO THE TURKISH LAND REGISTRY LAW</w:t>
      </w:r>
    </w:p>
    <w:p w:rsidR="00CC0DE5" w:rsidRPr="008010AA" w:rsidRDefault="00CC0DE5" w:rsidP="008010AA">
      <w:pPr>
        <w:spacing w:before="120" w:after="120" w:line="240" w:lineRule="auto"/>
        <w:jc w:val="center"/>
        <w:outlineLvl w:val="3"/>
        <w:rPr>
          <w:sz w:val="24"/>
          <w:szCs w:val="24"/>
        </w:rPr>
      </w:pPr>
    </w:p>
    <w:p w:rsidR="00BC0E1D" w:rsidRPr="008010AA" w:rsidRDefault="00BC0E1D" w:rsidP="008010AA">
      <w:pPr>
        <w:spacing w:before="120" w:after="120" w:line="240" w:lineRule="auto"/>
        <w:jc w:val="both"/>
        <w:rPr>
          <w:sz w:val="24"/>
          <w:szCs w:val="24"/>
        </w:rPr>
      </w:pPr>
      <w:proofErr w:type="gramStart"/>
      <w:r w:rsidRPr="008010AA">
        <w:rPr>
          <w:sz w:val="24"/>
          <w:szCs w:val="24"/>
        </w:rPr>
        <w:t>The Law, no.</w:t>
      </w:r>
      <w:proofErr w:type="gramEnd"/>
      <w:r w:rsidRPr="008010AA">
        <w:rPr>
          <w:sz w:val="24"/>
          <w:szCs w:val="24"/>
        </w:rPr>
        <w:t xml:space="preserve">  6302,  has  entered  into  enforcement  through  announcement  in  the  Official Gazette dated 18.05.2012, no. 28196. The aforementioned law changed Article 35 and Article </w:t>
      </w:r>
      <w:r w:rsidR="006A444A" w:rsidRPr="008010AA">
        <w:rPr>
          <w:sz w:val="24"/>
          <w:szCs w:val="24"/>
        </w:rPr>
        <w:t>36 of the Land Register Law</w:t>
      </w:r>
      <w:r w:rsidRPr="008010AA">
        <w:rPr>
          <w:sz w:val="24"/>
          <w:szCs w:val="24"/>
        </w:rPr>
        <w:t xml:space="preserve">.  Contents of the new articles after the amendments may be summarized as follows:  </w:t>
      </w:r>
    </w:p>
    <w:p w:rsidR="00BC0E1D" w:rsidRPr="008010AA" w:rsidRDefault="00BC0E1D" w:rsidP="008010AA">
      <w:pPr>
        <w:spacing w:before="120" w:after="120" w:line="240" w:lineRule="auto"/>
        <w:jc w:val="both"/>
        <w:rPr>
          <w:b/>
          <w:sz w:val="24"/>
          <w:szCs w:val="24"/>
        </w:rPr>
      </w:pPr>
      <w:r w:rsidRPr="008010AA">
        <w:rPr>
          <w:sz w:val="24"/>
          <w:szCs w:val="24"/>
        </w:rPr>
        <w:t xml:space="preserve"> </w:t>
      </w:r>
      <w:r w:rsidRPr="008010AA">
        <w:rPr>
          <w:b/>
          <w:sz w:val="24"/>
          <w:szCs w:val="24"/>
        </w:rPr>
        <w:t xml:space="preserve">1- LAND REGISTER LAW ARTICLE 35: </w:t>
      </w:r>
    </w:p>
    <w:p w:rsidR="00BC0E1D" w:rsidRPr="008010AA" w:rsidRDefault="00BC0E1D" w:rsidP="008010AA">
      <w:pPr>
        <w:spacing w:before="120" w:after="120" w:line="240" w:lineRule="auto"/>
        <w:jc w:val="both"/>
        <w:rPr>
          <w:sz w:val="24"/>
          <w:szCs w:val="24"/>
        </w:rPr>
      </w:pPr>
      <w:r w:rsidRPr="008010AA">
        <w:rPr>
          <w:sz w:val="24"/>
          <w:szCs w:val="24"/>
        </w:rPr>
        <w:t xml:space="preserve">New version of Article 35 of the Land Register Law is as follows: </w:t>
      </w:r>
    </w:p>
    <w:p w:rsidR="00BC0E1D" w:rsidRPr="008010AA" w:rsidRDefault="00BC0E1D" w:rsidP="008010AA">
      <w:pPr>
        <w:spacing w:before="120" w:after="120" w:line="240" w:lineRule="auto"/>
        <w:jc w:val="both"/>
        <w:rPr>
          <w:sz w:val="24"/>
          <w:szCs w:val="24"/>
        </w:rPr>
      </w:pPr>
      <w:r w:rsidRPr="008010AA">
        <w:rPr>
          <w:sz w:val="24"/>
          <w:szCs w:val="24"/>
        </w:rPr>
        <w:t xml:space="preserve">  “ARTICLE  35  –  Foreign  national  real  persons,  the  countries  of  whom  shall  be determined  by  Ministerial  Cabinet,  when  required  for  the  country’s  benefits  and  in accordance with the international bilateral relations, may acquire </w:t>
      </w:r>
      <w:r w:rsidR="006A444A" w:rsidRPr="008010AA">
        <w:rPr>
          <w:sz w:val="24"/>
          <w:szCs w:val="24"/>
        </w:rPr>
        <w:t>immovable</w:t>
      </w:r>
      <w:r w:rsidRPr="008010AA">
        <w:rPr>
          <w:sz w:val="24"/>
          <w:szCs w:val="24"/>
        </w:rPr>
        <w:t xml:space="preserve"> and limited right in rem, provided that all legal restrictions are complied. Total area of </w:t>
      </w:r>
      <w:r w:rsidR="006A444A" w:rsidRPr="008010AA">
        <w:rPr>
          <w:sz w:val="24"/>
          <w:szCs w:val="24"/>
        </w:rPr>
        <w:t>immovable</w:t>
      </w:r>
      <w:r w:rsidRPr="008010AA">
        <w:rPr>
          <w:sz w:val="24"/>
          <w:szCs w:val="24"/>
        </w:rPr>
        <w:t xml:space="preserve"> and independent and continuous limited right in rem acquired by foreign national real persons can  not  exceed  ten  percent  of  surface  area  of  the  province  that  such  special  property  is located  in  and  for  each  person  it  can  not  exceed  thirty  hectares  throughout  the  country. Ministerial  Cabinet  is  authorized  to  increase  the  amount,  which  may  be  acquired  per person, up to twofold.   </w:t>
      </w:r>
    </w:p>
    <w:p w:rsidR="00BC0E1D" w:rsidRPr="008010AA" w:rsidRDefault="00BC0E1D" w:rsidP="008010AA">
      <w:pPr>
        <w:spacing w:before="120" w:after="120" w:line="240" w:lineRule="auto"/>
        <w:jc w:val="both"/>
        <w:rPr>
          <w:sz w:val="24"/>
          <w:szCs w:val="24"/>
        </w:rPr>
      </w:pPr>
      <w:r w:rsidRPr="008010AA">
        <w:rPr>
          <w:sz w:val="24"/>
          <w:szCs w:val="24"/>
        </w:rPr>
        <w:t xml:space="preserve">Commercial companies, which are incorporated in foreign countries in accordance with laws of their origin countries and which possess legal entity characters, may acquire </w:t>
      </w:r>
      <w:r w:rsidR="006A444A" w:rsidRPr="008010AA">
        <w:rPr>
          <w:sz w:val="24"/>
          <w:szCs w:val="24"/>
        </w:rPr>
        <w:t>immovable</w:t>
      </w:r>
      <w:r w:rsidRPr="008010AA">
        <w:rPr>
          <w:sz w:val="24"/>
          <w:szCs w:val="24"/>
        </w:rPr>
        <w:t xml:space="preserve">  and  limited  right  in  rem  only  within  the  frames  of  provisions  of  special statutes.  The  companies,  other  than  these  commercial  companies,  can  not  acquire </w:t>
      </w:r>
      <w:r w:rsidR="006A444A" w:rsidRPr="008010AA">
        <w:rPr>
          <w:sz w:val="24"/>
          <w:szCs w:val="24"/>
        </w:rPr>
        <w:t>immovable</w:t>
      </w:r>
      <w:r w:rsidRPr="008010AA">
        <w:rPr>
          <w:sz w:val="24"/>
          <w:szCs w:val="24"/>
        </w:rPr>
        <w:t xml:space="preserve">  and  no  limited  right  in  rem  can  be established  in  their  favor.  Restrictions  set under  this  article  shall  not  apply  to  establishment  of  immovable  pledges  in  favor  of  these commercial companies and foreign national real persons.    </w:t>
      </w:r>
    </w:p>
    <w:p w:rsidR="00BC0E1D" w:rsidRPr="008010AA" w:rsidRDefault="00BC0E1D" w:rsidP="008010AA">
      <w:pPr>
        <w:spacing w:before="120" w:after="120" w:line="240" w:lineRule="auto"/>
        <w:jc w:val="both"/>
        <w:rPr>
          <w:sz w:val="24"/>
          <w:szCs w:val="24"/>
        </w:rPr>
      </w:pPr>
      <w:r w:rsidRPr="008010AA">
        <w:rPr>
          <w:sz w:val="24"/>
          <w:szCs w:val="24"/>
        </w:rPr>
        <w:t xml:space="preserve"> When required for the benefits and interests of the country, the Ministerial Cabinet may determine, limit, partially or fully cease or prohibit immovable and limited right in rem acquisitions  of  foreign  national  real  persons  and  commercial  companies,  which  are incorporated  in  foreign  countries  in  accordance  with  laws  of  their  origin  countries  and which  possess  legal  entity  characters,  in  terms  of  country,  person,  geographical  region, duration, number, ratio, kind, qualification, square measure and amount. </w:t>
      </w:r>
    </w:p>
    <w:p w:rsidR="00E50ED9" w:rsidRPr="008010AA" w:rsidRDefault="00BC0E1D" w:rsidP="008010AA">
      <w:pPr>
        <w:spacing w:before="120" w:after="120" w:line="240" w:lineRule="auto"/>
        <w:jc w:val="both"/>
        <w:rPr>
          <w:sz w:val="24"/>
          <w:szCs w:val="24"/>
        </w:rPr>
      </w:pPr>
      <w:r w:rsidRPr="008010AA">
        <w:rPr>
          <w:sz w:val="24"/>
          <w:szCs w:val="24"/>
        </w:rPr>
        <w:t xml:space="preserve"> Foreign  national  real  persons  and  commercial  companies,  which  are  incorporated in  foreign  countries  in  accordance  with  laws  of  their  origin  countries  and  which  possess legal  entity  characters,  are  obligated  to  submit a  project,  which  they  shall  develop  on  any unstructured  immovable  they  purchased,  to  the  approval  of  the  related  Ministry.  The project, which is approved by the Ministry by determining the start and ending dates, shall be submitted to the Directorate of Land Registry, where the related immovable is registered, in order to register such under the declarations column of the land re</w:t>
      </w:r>
      <w:r w:rsidR="006A444A">
        <w:rPr>
          <w:sz w:val="24"/>
          <w:szCs w:val="24"/>
        </w:rPr>
        <w:t xml:space="preserve">gister. The necessary follow up </w:t>
      </w:r>
      <w:r w:rsidRPr="008010AA">
        <w:rPr>
          <w:sz w:val="24"/>
          <w:szCs w:val="24"/>
        </w:rPr>
        <w:t>whether the approved project is performed within its period or not</w:t>
      </w:r>
      <w:r w:rsidR="0016380E">
        <w:rPr>
          <w:sz w:val="24"/>
          <w:szCs w:val="24"/>
        </w:rPr>
        <w:t xml:space="preserve"> </w:t>
      </w:r>
      <w:r w:rsidRPr="008010AA">
        <w:rPr>
          <w:sz w:val="24"/>
          <w:szCs w:val="24"/>
        </w:rPr>
        <w:t xml:space="preserve">shall be made by the Ministry. Maps and coordinate values of prohibited military zones, military security zones and strategic zones shall be submitted at the latest within one year from the enforcement date of this  Law  and  maps  and  coordinate  values  of  amendment  decisions  regarding  such  places </w:t>
      </w:r>
      <w:r w:rsidRPr="008010AA">
        <w:rPr>
          <w:sz w:val="24"/>
          <w:szCs w:val="24"/>
        </w:rPr>
        <w:lastRenderedPageBreak/>
        <w:t xml:space="preserve">shall  be  submitted  at  the  latest  within  one  month  from  the  date  of  amendment  by the Ministry  of  Defense  and  maps  and  coordinate  values  of  special  security  zones  and amendment  decisions  shall  be  submitted  by  the  Ministry  of  Internal  Affairs,  within  the same period, to the Ministry that the General Directorate of Land Registry and Cadastral is affiliated  with.  Title  deed  transactions  shall  be  performed  according  to  documents  and information  sent  in  pursuant  to  this  sub-paragraph  from  one  year  as  of  the  enforcement date of this Law. </w:t>
      </w:r>
    </w:p>
    <w:p w:rsidR="00BC0E1D" w:rsidRPr="008010AA" w:rsidRDefault="00BC0E1D" w:rsidP="008010AA">
      <w:pPr>
        <w:spacing w:before="120" w:after="120" w:line="240" w:lineRule="auto"/>
        <w:jc w:val="both"/>
        <w:rPr>
          <w:sz w:val="24"/>
          <w:szCs w:val="24"/>
        </w:rPr>
      </w:pPr>
      <w:r w:rsidRPr="008010AA">
        <w:rPr>
          <w:sz w:val="24"/>
          <w:szCs w:val="24"/>
        </w:rPr>
        <w:t>The  immovable  and  limited  right  in  rem,  which  are  acquired  in  violation  to provisions  of  this  article,  which  are  determined in  use  against its  acquirement  purpose  by the  related  Ministry  and  administrations,  which  are  not  notified  to  the  related  Ministry within time or the projects of which are not performed within the stated time and which are acquired by inheritance other than the restrictions within the scope of first subparagraph of this article, are not liquidated by their owners within the period specified by the Ministry of Finance,  which  can  not  exceed  one  year  under  no circumstances,  shall  be  liquidated  and their value and worth shall be paid to their benefici</w:t>
      </w:r>
      <w:r w:rsidR="0027766C" w:rsidRPr="008010AA">
        <w:rPr>
          <w:sz w:val="24"/>
          <w:szCs w:val="24"/>
        </w:rPr>
        <w:t xml:space="preserve">aries.” </w:t>
      </w:r>
    </w:p>
    <w:p w:rsidR="00BC0E1D" w:rsidRPr="008010AA" w:rsidRDefault="0027766C" w:rsidP="008010AA">
      <w:pPr>
        <w:spacing w:before="120" w:after="120" w:line="240" w:lineRule="auto"/>
        <w:jc w:val="both"/>
        <w:rPr>
          <w:sz w:val="24"/>
          <w:szCs w:val="24"/>
        </w:rPr>
      </w:pPr>
      <w:r w:rsidRPr="008010AA">
        <w:rPr>
          <w:sz w:val="24"/>
          <w:szCs w:val="24"/>
        </w:rPr>
        <w:t>• Reciprocity principle has been abolished</w:t>
      </w:r>
      <w:r w:rsidR="00BC0E1D" w:rsidRPr="008010AA">
        <w:rPr>
          <w:sz w:val="24"/>
          <w:szCs w:val="24"/>
        </w:rPr>
        <w:t xml:space="preserve">.  Nationals  of  countries  specified  by  the Ministerial  Cabinet  may  acquire  immovable  and  limited  right  in  rem.  Ministerial Cabinet  shall  base  its decisions  on  international  bilateral  relations  and  the country’s interests while determining the aforesaid countries.  </w:t>
      </w:r>
    </w:p>
    <w:p w:rsidR="00BC0E1D" w:rsidRPr="008010AA" w:rsidRDefault="00BC0E1D" w:rsidP="008010AA">
      <w:pPr>
        <w:spacing w:before="120" w:after="120" w:line="240" w:lineRule="auto"/>
        <w:jc w:val="both"/>
        <w:rPr>
          <w:sz w:val="24"/>
          <w:szCs w:val="24"/>
        </w:rPr>
      </w:pPr>
      <w:r w:rsidRPr="008010AA">
        <w:rPr>
          <w:sz w:val="24"/>
          <w:szCs w:val="24"/>
        </w:rPr>
        <w:t xml:space="preserve">•  Upper  limit  of  immovable,  independent  and  continuous  rights  that  foreign  real persons may acquire, which was 2.5 hectares according to the previous regulations, has been raised to 30 hectares and it has been regulated that the Ministerial Cabinet may raise this amount up to twofold.  </w:t>
      </w:r>
    </w:p>
    <w:p w:rsidR="00BC0E1D" w:rsidRPr="008010AA" w:rsidRDefault="00BC0E1D" w:rsidP="008010AA">
      <w:pPr>
        <w:spacing w:before="120" w:after="120" w:line="240" w:lineRule="auto"/>
        <w:jc w:val="both"/>
        <w:rPr>
          <w:sz w:val="24"/>
          <w:szCs w:val="24"/>
        </w:rPr>
      </w:pPr>
      <w:r w:rsidRPr="008010AA">
        <w:rPr>
          <w:sz w:val="24"/>
          <w:szCs w:val="24"/>
        </w:rPr>
        <w:t xml:space="preserve">•  Legal entity commercial companies incorporated in foreign countries (foreign legal entities  other  than  the  legal  entity  commercial  companies,  such  as  foundations, institutions, communities, unions, can not acquire immovable and limited right in rem in Turkey) may acquire immovable and limited right in rem in Turkey within the scope of provisions of special statutes. </w:t>
      </w:r>
    </w:p>
    <w:p w:rsidR="00BC0E1D" w:rsidRPr="008010AA" w:rsidRDefault="0027766C" w:rsidP="008010AA">
      <w:pPr>
        <w:spacing w:before="120" w:after="120" w:line="240" w:lineRule="auto"/>
        <w:jc w:val="both"/>
        <w:rPr>
          <w:sz w:val="24"/>
          <w:szCs w:val="24"/>
        </w:rPr>
      </w:pPr>
      <w:r w:rsidRPr="008010AA">
        <w:rPr>
          <w:sz w:val="24"/>
          <w:szCs w:val="24"/>
        </w:rPr>
        <w:t>• No</w:t>
      </w:r>
      <w:r w:rsidR="00BC0E1D" w:rsidRPr="008010AA">
        <w:rPr>
          <w:sz w:val="24"/>
          <w:szCs w:val="24"/>
        </w:rPr>
        <w:t xml:space="preserve"> restrictions have been brought regarding immovable pledges. Mortgages shall be  freely  established  in  favor  of  foreign  real  persons  and  foreign  legal  entity commercial companies, regardless of whether they are within the list specified by the Ministerial Cabinet or not. </w:t>
      </w:r>
    </w:p>
    <w:p w:rsidR="00BC0E1D" w:rsidRPr="008010AA" w:rsidRDefault="00BC0E1D" w:rsidP="008010AA">
      <w:pPr>
        <w:spacing w:before="120" w:after="120" w:line="240" w:lineRule="auto"/>
        <w:jc w:val="both"/>
        <w:rPr>
          <w:sz w:val="24"/>
          <w:szCs w:val="24"/>
        </w:rPr>
      </w:pPr>
      <w:r w:rsidRPr="008010AA">
        <w:rPr>
          <w:sz w:val="24"/>
          <w:szCs w:val="24"/>
        </w:rPr>
        <w:t xml:space="preserve">•  Ministerial  Cabinet  has  been  granted  with  the  authority  to  determine,  restrict, partially  of  fully  cease  or  prohibit  the  immovable  and  limited  right  in  rem acquisitions of foreign real persons and foreign legal entity commercial companies. </w:t>
      </w:r>
    </w:p>
    <w:p w:rsidR="00BC0E1D" w:rsidRPr="008010AA" w:rsidRDefault="00BC0E1D" w:rsidP="008010AA">
      <w:pPr>
        <w:spacing w:before="120" w:after="120" w:line="240" w:lineRule="auto"/>
        <w:jc w:val="both"/>
        <w:rPr>
          <w:sz w:val="24"/>
          <w:szCs w:val="24"/>
        </w:rPr>
      </w:pPr>
      <w:r w:rsidRPr="008010AA">
        <w:rPr>
          <w:sz w:val="24"/>
          <w:szCs w:val="24"/>
        </w:rPr>
        <w:t xml:space="preserve">•  Foreign  real  persons  and  legal  entity  commercial  companies  may  purchase  lands and  areas,  whether  they  are  classified  as  agricultural  lands  or  not.  </w:t>
      </w:r>
      <w:r w:rsidR="0027766C" w:rsidRPr="008010AA">
        <w:rPr>
          <w:sz w:val="24"/>
          <w:szCs w:val="24"/>
        </w:rPr>
        <w:t>In case these</w:t>
      </w:r>
      <w:r w:rsidRPr="008010AA">
        <w:rPr>
          <w:sz w:val="24"/>
          <w:szCs w:val="24"/>
        </w:rPr>
        <w:t xml:space="preserve"> </w:t>
      </w:r>
      <w:r w:rsidR="0027766C" w:rsidRPr="008010AA">
        <w:rPr>
          <w:sz w:val="24"/>
          <w:szCs w:val="24"/>
        </w:rPr>
        <w:t>immovable</w:t>
      </w:r>
      <w:r w:rsidRPr="008010AA">
        <w:rPr>
          <w:sz w:val="24"/>
          <w:szCs w:val="24"/>
        </w:rPr>
        <w:t xml:space="preserve"> are purchased, a project shall be developed and submitted to the related Ministry.  If the  Ministry approves these  projects by specifying its starting and  ending  dates,  this  circumstance  shall  be  registered  under  the  declarations column  of  land  deed  register  which  the  concerned  </w:t>
      </w:r>
      <w:r w:rsidRPr="008010AA">
        <w:rPr>
          <w:sz w:val="24"/>
          <w:szCs w:val="24"/>
        </w:rPr>
        <w:lastRenderedPageBreak/>
        <w:t xml:space="preserve">immovable  is  registered  with.  The immovable, which are not notified to the related Ministry or projects of which are not performed within it specified period, shall be liquidated.   </w:t>
      </w:r>
    </w:p>
    <w:p w:rsidR="00BC0E1D" w:rsidRPr="008010AA" w:rsidRDefault="00BC0E1D" w:rsidP="008010AA">
      <w:pPr>
        <w:spacing w:before="120" w:after="120" w:line="240" w:lineRule="auto"/>
        <w:jc w:val="both"/>
        <w:rPr>
          <w:sz w:val="24"/>
          <w:szCs w:val="24"/>
        </w:rPr>
      </w:pPr>
      <w:r w:rsidRPr="008010AA">
        <w:rPr>
          <w:sz w:val="24"/>
          <w:szCs w:val="24"/>
        </w:rPr>
        <w:t xml:space="preserve">•  When  the  Article  is  reviewed,  it  is  observed  that  an  obligation  of  notifying  for military areas and special security zones has been brought. This shall be registered under  the  page  of  the  related  </w:t>
      </w:r>
      <w:proofErr w:type="spellStart"/>
      <w:r w:rsidRPr="008010AA">
        <w:rPr>
          <w:sz w:val="24"/>
          <w:szCs w:val="24"/>
        </w:rPr>
        <w:t>immovable’s</w:t>
      </w:r>
      <w:proofErr w:type="spellEnd"/>
      <w:r w:rsidRPr="008010AA">
        <w:rPr>
          <w:sz w:val="24"/>
          <w:szCs w:val="24"/>
        </w:rPr>
        <w:t xml:space="preserve">  land  deed  register  following  the notification of the related authority in this respect. According to the  Law, in case there  is  such  a  registration  under  the  land  deed  register  with  regards  to  military areas  and special security zones, the aforementioned registries shall be taken as a basis in land deed transactions.  </w:t>
      </w:r>
    </w:p>
    <w:p w:rsidR="00BC0E1D" w:rsidRPr="008010AA" w:rsidRDefault="00BC0E1D" w:rsidP="008010AA">
      <w:pPr>
        <w:spacing w:before="120" w:after="120" w:line="240" w:lineRule="auto"/>
        <w:jc w:val="both"/>
        <w:rPr>
          <w:sz w:val="24"/>
          <w:szCs w:val="24"/>
        </w:rPr>
      </w:pPr>
      <w:r w:rsidRPr="008010AA">
        <w:rPr>
          <w:sz w:val="24"/>
          <w:szCs w:val="24"/>
        </w:rPr>
        <w:t xml:space="preserve">•  While  the  registries  regarding  military  areas  and  special  security  zones  shall  be kept  up  to  date,  transaction  requests  of  foreign  real  persons  shall  be  declined  in case there are registries in land deed registers and shall be performed in case there are  no  registries.  This implementation shall start within 1 year as of the enforcement date of the Law. </w:t>
      </w:r>
    </w:p>
    <w:p w:rsidR="00BC0E1D" w:rsidRPr="008010AA" w:rsidRDefault="00BC0E1D" w:rsidP="008010AA">
      <w:pPr>
        <w:spacing w:before="120" w:after="120" w:line="240" w:lineRule="auto"/>
        <w:jc w:val="both"/>
        <w:rPr>
          <w:sz w:val="24"/>
          <w:szCs w:val="24"/>
        </w:rPr>
      </w:pPr>
      <w:r w:rsidRPr="008010AA">
        <w:rPr>
          <w:sz w:val="24"/>
          <w:szCs w:val="24"/>
        </w:rPr>
        <w:t xml:space="preserve">•  In  cases  of  illegal  acquisition,  utilization  in  violation  of  intended  use,  failure  of notification within time, failure of performing projects within time and in cases of immovable and limited real right in rem acquisitions by inheritance other than the restrictions determined under the Law, immovable and limited right in rem shall be liquidated by the Ministry, if they are not liquidated within the period specified by the Ministry of Finance (at most 1 year). </w:t>
      </w:r>
    </w:p>
    <w:p w:rsidR="00BC0E1D" w:rsidRPr="008010AA" w:rsidRDefault="00BC0E1D" w:rsidP="008010AA">
      <w:pPr>
        <w:spacing w:before="120" w:after="120" w:line="240" w:lineRule="auto"/>
        <w:jc w:val="both"/>
        <w:rPr>
          <w:sz w:val="24"/>
          <w:szCs w:val="24"/>
        </w:rPr>
      </w:pPr>
      <w:r w:rsidRPr="008010AA">
        <w:rPr>
          <w:sz w:val="24"/>
          <w:szCs w:val="24"/>
        </w:rPr>
        <w:t xml:space="preserve">•  Immovable  may  be  acquired  by  inheritance  within  the  scope  of  restrictions  set under  the  Law.  Accordingly,  foreigners  may  acquire  immovable  properties  by inheritance within prohibited military zones and security zones, strategic areas and special  security  zones,  however,  these  properties  shall  be  subject  to  liquidation. Furthermore,  nationals  of  countries  apart  from  the  countries  specified  by  the Ministerial  Cabinet  may  acquire  immovable  by  inheritance,  however,  these properties  shall  also  be  subject  to  liquidation.  Additionally,  immovable  acquired by  inheritance,  which  exceed  30  hectares,  shall  be  subject  to  liquidation.  Legal inheritance or testamentary dispositions (testament, inheritance contract etc.) have not been separately regulated under the Law.  Both types of acquisitions shall be subject to restrictions.   </w:t>
      </w:r>
    </w:p>
    <w:p w:rsidR="00BC0E1D" w:rsidRPr="008010AA" w:rsidRDefault="00BC0E1D" w:rsidP="008010AA">
      <w:pPr>
        <w:spacing w:before="120" w:after="120" w:line="240" w:lineRule="auto"/>
        <w:jc w:val="both"/>
        <w:rPr>
          <w:sz w:val="24"/>
          <w:szCs w:val="24"/>
        </w:rPr>
      </w:pPr>
      <w:r w:rsidRPr="008010AA">
        <w:rPr>
          <w:sz w:val="24"/>
          <w:szCs w:val="24"/>
        </w:rPr>
        <w:t>•  Descent  transactions  shall  be  performed  in  directorates  of  land  registry  in accordance  with  documents  of  inheritance  submitted  with  descent  requests  of foreigners and  acquisitions within the scope of legal  restrictions (such as  military zones etc.) shall be submitted to the Ministr</w:t>
      </w:r>
      <w:r w:rsidR="0027766C" w:rsidRPr="008010AA">
        <w:rPr>
          <w:sz w:val="24"/>
          <w:szCs w:val="24"/>
        </w:rPr>
        <w:t xml:space="preserve">y of Finance for liquidation.  </w:t>
      </w:r>
    </w:p>
    <w:p w:rsidR="00BC0E1D" w:rsidRPr="008010AA" w:rsidRDefault="00BC0E1D" w:rsidP="008010AA">
      <w:pPr>
        <w:spacing w:before="120" w:after="120" w:line="240" w:lineRule="auto"/>
        <w:jc w:val="both"/>
        <w:rPr>
          <w:b/>
          <w:sz w:val="24"/>
          <w:szCs w:val="24"/>
        </w:rPr>
      </w:pPr>
      <w:r w:rsidRPr="008010AA">
        <w:rPr>
          <w:b/>
          <w:sz w:val="24"/>
          <w:szCs w:val="24"/>
        </w:rPr>
        <w:t xml:space="preserve">2- LAND REGISTER LAW ARTICLE 36: </w:t>
      </w:r>
    </w:p>
    <w:p w:rsidR="00BC0E1D" w:rsidRPr="008010AA" w:rsidRDefault="00BC0E1D" w:rsidP="008010AA">
      <w:pPr>
        <w:spacing w:before="120" w:after="120" w:line="240" w:lineRule="auto"/>
        <w:jc w:val="both"/>
        <w:rPr>
          <w:sz w:val="24"/>
          <w:szCs w:val="24"/>
        </w:rPr>
      </w:pPr>
      <w:r w:rsidRPr="008010AA">
        <w:rPr>
          <w:sz w:val="24"/>
          <w:szCs w:val="24"/>
        </w:rPr>
        <w:t xml:space="preserve">New version of Article 36 of the Land Register Law is as follows: </w:t>
      </w:r>
    </w:p>
    <w:p w:rsidR="00BC0E1D" w:rsidRPr="008010AA" w:rsidRDefault="00BC0E1D" w:rsidP="008010AA">
      <w:pPr>
        <w:spacing w:before="120" w:after="120" w:line="240" w:lineRule="auto"/>
        <w:jc w:val="both"/>
        <w:rPr>
          <w:sz w:val="24"/>
          <w:szCs w:val="24"/>
        </w:rPr>
      </w:pPr>
      <w:r w:rsidRPr="008010AA">
        <w:rPr>
          <w:sz w:val="24"/>
          <w:szCs w:val="24"/>
        </w:rPr>
        <w:t xml:space="preserve"> “ARTICLE 36 – Foreign national real persons, excluding persons within the scope </w:t>
      </w:r>
      <w:r w:rsidR="006A444A" w:rsidRPr="008010AA">
        <w:rPr>
          <w:sz w:val="24"/>
          <w:szCs w:val="24"/>
        </w:rPr>
        <w:t>of Article 28 of</w:t>
      </w:r>
      <w:r w:rsidR="006A444A">
        <w:rPr>
          <w:sz w:val="24"/>
          <w:szCs w:val="24"/>
        </w:rPr>
        <w:t xml:space="preserve"> Turkish Citizenship Law dated 29.05.2009, </w:t>
      </w:r>
      <w:r w:rsidRPr="008010AA">
        <w:rPr>
          <w:sz w:val="24"/>
          <w:szCs w:val="24"/>
        </w:rPr>
        <w:t xml:space="preserve">no.  5901,  legal  entities incorporated  in  accordance  with  legislations  of  foreign  countries  and  legal  entity companies incorporated in Turkey, fifty percent or more shares of which are possessed by  international  institutions,  or  the  assigning  and  releasing  rights  of  the  majority  of  the persons  with  management  rights  for  which  are  granted  to  international  institutions,  may acquire  and  use  immovable  </w:t>
      </w:r>
      <w:r w:rsidRPr="008010AA">
        <w:rPr>
          <w:sz w:val="24"/>
          <w:szCs w:val="24"/>
        </w:rPr>
        <w:lastRenderedPageBreak/>
        <w:t xml:space="preserve">property  or  limited  right  in  rem  in  order  to  conduct  the operations set under their articles of associations. </w:t>
      </w:r>
    </w:p>
    <w:p w:rsidR="00BC0E1D" w:rsidRPr="008010AA" w:rsidRDefault="00BC0E1D" w:rsidP="008010AA">
      <w:pPr>
        <w:spacing w:before="120" w:after="120" w:line="240" w:lineRule="auto"/>
        <w:jc w:val="both"/>
        <w:rPr>
          <w:sz w:val="24"/>
          <w:szCs w:val="24"/>
        </w:rPr>
      </w:pPr>
      <w:r w:rsidRPr="008010AA">
        <w:rPr>
          <w:sz w:val="24"/>
          <w:szCs w:val="24"/>
        </w:rPr>
        <w:t xml:space="preserve"> Same  principles  shall  be  valid  in  case  the  companies  specified  under  the  first subparagraph  directly  or  indirectly  participate  in  other  companies  established  in  Turkey and in case final partnership ratio of the foreign investor in the established company is fifty percent  or  above,  in  case  foreign  investors,  directly  or  indirectly  acquire  fifty  percent  or more shares of domestic capital companies, which own immovable properties, and in case partnership  ratio  of  foreign  investors  in  existing  foreign  capital  companies,  which  own immovable  properties,  reach  fifty  percent  or  exceed  this  amount  as  a  result  of  share transfers.  </w:t>
      </w:r>
    </w:p>
    <w:p w:rsidR="00BC0E1D" w:rsidRPr="008010AA" w:rsidRDefault="00BC0E1D" w:rsidP="008010AA">
      <w:pPr>
        <w:spacing w:before="120" w:after="120" w:line="240" w:lineRule="auto"/>
        <w:jc w:val="both"/>
        <w:rPr>
          <w:sz w:val="24"/>
          <w:szCs w:val="24"/>
        </w:rPr>
      </w:pPr>
      <w:r w:rsidRPr="008010AA">
        <w:rPr>
          <w:sz w:val="24"/>
          <w:szCs w:val="24"/>
        </w:rPr>
        <w:t xml:space="preserve"> Immovable  acquisitions  of  these  companies  within  prohibited  military  zones, military security zones and regions specified under Article 28 of Prohibited Military Zones and Security Zones Code dated 18.12.1981, no. 2565, are subject to the approval of Turkish General  Staff  or  of  commanderships  authorized  by  the  Turkish  General  Staff,  while immovable  of  acquisitions  of  the  aforesaid  companies  within  special  security  zones  are subject to the approval of the  governorship of the province that such immovable is located in.  </w:t>
      </w:r>
    </w:p>
    <w:p w:rsidR="00BC0E1D" w:rsidRPr="008010AA" w:rsidRDefault="00BC0E1D" w:rsidP="008010AA">
      <w:pPr>
        <w:spacing w:before="120" w:after="120" w:line="240" w:lineRule="auto"/>
        <w:jc w:val="both"/>
        <w:rPr>
          <w:sz w:val="24"/>
          <w:szCs w:val="24"/>
        </w:rPr>
      </w:pPr>
      <w:r w:rsidRPr="008010AA">
        <w:rPr>
          <w:sz w:val="24"/>
          <w:szCs w:val="24"/>
        </w:rPr>
        <w:t xml:space="preserve"> Foreign capital companies outside the scope of the abovementioned subparagraphs may acquire and utilize immovable property and limited right in rem within the frames of provisions domestic capital companies are subject to.  </w:t>
      </w:r>
    </w:p>
    <w:p w:rsidR="00BC0E1D" w:rsidRPr="008010AA" w:rsidRDefault="00BC0E1D" w:rsidP="008010AA">
      <w:pPr>
        <w:spacing w:before="120" w:after="120" w:line="240" w:lineRule="auto"/>
        <w:jc w:val="both"/>
        <w:rPr>
          <w:sz w:val="24"/>
          <w:szCs w:val="24"/>
        </w:rPr>
      </w:pPr>
      <w:r w:rsidRPr="008010AA">
        <w:rPr>
          <w:sz w:val="24"/>
          <w:szCs w:val="24"/>
        </w:rPr>
        <w:t xml:space="preserve"> Provisions  of  this  Article  shall  not  be  applied  to  immovable  pledge  establishments, property  acquisitions  within  the  scope  of  foreclosure  of  immovable  pledges,  immovable property and limited right in rem transfers arising from company mergers and demergers, to immovable property and limited real rights acquisitions within special investment zones, such as organized industrial zones, industrial zones, technology development areas and free zones, to immovable acquisitions of banks due to transactions, which are deemed as credits and  loans  within  the  scope  of  Banking  Law  dated  19.10.2005,  no.  5411</w:t>
      </w:r>
      <w:r w:rsidR="0027766C" w:rsidRPr="008010AA">
        <w:rPr>
          <w:sz w:val="24"/>
          <w:szCs w:val="24"/>
        </w:rPr>
        <w:t>, or in order to</w:t>
      </w:r>
      <w:r w:rsidRPr="008010AA">
        <w:rPr>
          <w:sz w:val="24"/>
          <w:szCs w:val="24"/>
        </w:rPr>
        <w:t xml:space="preserve"> collect their receivables, provided that obligation of disposal within specified time pursuant to related legislations continues.  </w:t>
      </w:r>
    </w:p>
    <w:p w:rsidR="00BC0E1D" w:rsidRPr="008010AA" w:rsidRDefault="00BC0E1D" w:rsidP="008010AA">
      <w:pPr>
        <w:spacing w:before="120" w:after="120" w:line="240" w:lineRule="auto"/>
        <w:jc w:val="both"/>
        <w:rPr>
          <w:sz w:val="24"/>
          <w:szCs w:val="24"/>
        </w:rPr>
      </w:pPr>
      <w:r w:rsidRPr="008010AA">
        <w:rPr>
          <w:sz w:val="24"/>
          <w:szCs w:val="24"/>
        </w:rPr>
        <w:t xml:space="preserve"> Utilization of </w:t>
      </w:r>
      <w:r w:rsidR="0027766C" w:rsidRPr="008010AA">
        <w:rPr>
          <w:sz w:val="24"/>
          <w:szCs w:val="24"/>
        </w:rPr>
        <w:t>immovable</w:t>
      </w:r>
      <w:r w:rsidRPr="008010AA">
        <w:rPr>
          <w:sz w:val="24"/>
          <w:szCs w:val="24"/>
        </w:rPr>
        <w:t xml:space="preserve"> acquired within the scope of this article shall be followed by governorships at regular intervals within the scope of land records. </w:t>
      </w:r>
    </w:p>
    <w:p w:rsidR="00BC0E1D" w:rsidRPr="008010AA" w:rsidRDefault="00BC0E1D" w:rsidP="008010AA">
      <w:pPr>
        <w:spacing w:before="120" w:after="120" w:line="240" w:lineRule="auto"/>
        <w:jc w:val="both"/>
        <w:rPr>
          <w:sz w:val="24"/>
          <w:szCs w:val="24"/>
        </w:rPr>
      </w:pPr>
      <w:r w:rsidRPr="008010AA">
        <w:rPr>
          <w:sz w:val="24"/>
          <w:szCs w:val="24"/>
        </w:rPr>
        <w:t xml:space="preserve"> In case immovable and limited right in rem, which are determined to be acquired or utilized  in  violation  of  provisions  of  this  article,  are  not  liquidated  by  their  owners  within the period specified by the Ministry of Finance, they shall be liquidated and their value and worth shall be paid to their beneficiaries.  </w:t>
      </w:r>
    </w:p>
    <w:p w:rsidR="00BC0E1D" w:rsidRPr="008010AA" w:rsidRDefault="00BC0E1D" w:rsidP="008010AA">
      <w:pPr>
        <w:spacing w:before="120" w:after="120" w:line="240" w:lineRule="auto"/>
        <w:jc w:val="both"/>
        <w:rPr>
          <w:sz w:val="24"/>
          <w:szCs w:val="24"/>
        </w:rPr>
      </w:pPr>
      <w:r w:rsidRPr="008010AA">
        <w:rPr>
          <w:sz w:val="24"/>
          <w:szCs w:val="24"/>
        </w:rPr>
        <w:t xml:space="preserve"> Procedures  and  principles  regarding  the  implementation  of  this  article  shall  be regulated  with  a  directive  issued  by  the  Ministry  of  Economy  after  obtaining  views  and thoughts of related institutions and organizations.” </w:t>
      </w:r>
    </w:p>
    <w:p w:rsidR="00BC0E1D" w:rsidRPr="008010AA" w:rsidRDefault="00BC0E1D" w:rsidP="008010AA">
      <w:pPr>
        <w:spacing w:before="120" w:after="120" w:line="240" w:lineRule="auto"/>
        <w:jc w:val="both"/>
        <w:rPr>
          <w:sz w:val="24"/>
          <w:szCs w:val="24"/>
        </w:rPr>
      </w:pPr>
      <w:r w:rsidRPr="008010AA">
        <w:rPr>
          <w:sz w:val="24"/>
          <w:szCs w:val="24"/>
        </w:rPr>
        <w:t xml:space="preserve">•  Foreign national real persons, excluding the persons within the scope of Article 28 of the Turkish Citizenship Act, no. 5901, legal entities incorporated under laws and regulations  of  foreign  countries,  and  legal  entity  companies  incorporated  in Turkey,  fifty  percent  or  </w:t>
      </w:r>
      <w:r w:rsidRPr="008010AA">
        <w:rPr>
          <w:sz w:val="24"/>
          <w:szCs w:val="24"/>
        </w:rPr>
        <w:lastRenderedPageBreak/>
        <w:t xml:space="preserve">more  shares  of  which  are  possessed  by  international institutions, or even though the aforesaid share ratio of which is not possessed by international  institutions,  the  assigning  and  releasing  rights  of  the  majority  of  the persons with management rights for which are granted to international institutions, may  acquire  and  use  immovable  property  or  limited  right  in  rem  in  order  to conduct the operations set under their articles of associations. </w:t>
      </w:r>
    </w:p>
    <w:p w:rsidR="00BC0E1D" w:rsidRPr="008010AA" w:rsidRDefault="00BC0E1D" w:rsidP="008010AA">
      <w:pPr>
        <w:spacing w:before="120" w:after="120" w:line="240" w:lineRule="auto"/>
        <w:jc w:val="both"/>
        <w:rPr>
          <w:sz w:val="24"/>
          <w:szCs w:val="24"/>
        </w:rPr>
      </w:pPr>
      <w:r w:rsidRPr="008010AA">
        <w:rPr>
          <w:sz w:val="24"/>
          <w:szCs w:val="24"/>
        </w:rPr>
        <w:t xml:space="preserve">•  Due  to  important  regulations  brought  with  this  Law,  in  order  for  foreign  capital companies to acquire </w:t>
      </w:r>
      <w:r w:rsidR="006A444A" w:rsidRPr="008010AA">
        <w:rPr>
          <w:sz w:val="24"/>
          <w:szCs w:val="24"/>
        </w:rPr>
        <w:t>immovable</w:t>
      </w:r>
      <w:r w:rsidRPr="008010AA">
        <w:rPr>
          <w:sz w:val="24"/>
          <w:szCs w:val="24"/>
        </w:rPr>
        <w:t xml:space="preserve"> and limited real rights within Turkey, share ratio of the investors shall be 50% or higher.  In case investors do not posses this ratio, they  shall  possess  the  authority  to  appoint  or  release  the  majority  of  the  persons with management rights. If they possess less than this ratio, these companies may acquire </w:t>
      </w:r>
      <w:r w:rsidR="006A444A" w:rsidRPr="008010AA">
        <w:rPr>
          <w:sz w:val="24"/>
          <w:szCs w:val="24"/>
        </w:rPr>
        <w:t>immovable</w:t>
      </w:r>
      <w:r w:rsidRPr="008010AA">
        <w:rPr>
          <w:sz w:val="24"/>
          <w:szCs w:val="24"/>
        </w:rPr>
        <w:t xml:space="preserve"> and limited real rights same as domestic capital companies.  </w:t>
      </w:r>
    </w:p>
    <w:p w:rsidR="00BC0E1D" w:rsidRPr="008010AA" w:rsidRDefault="00BC0E1D" w:rsidP="008010AA">
      <w:pPr>
        <w:spacing w:before="120" w:after="120" w:line="240" w:lineRule="auto"/>
        <w:jc w:val="both"/>
        <w:rPr>
          <w:sz w:val="24"/>
          <w:szCs w:val="24"/>
        </w:rPr>
      </w:pPr>
      <w:r w:rsidRPr="008010AA">
        <w:rPr>
          <w:sz w:val="24"/>
          <w:szCs w:val="24"/>
        </w:rPr>
        <w:t xml:space="preserve">•  Foreign  persons  and  institutions,  who  may  be  shareholders  of  legal  entity companies established in Turkey within the scope of the code, are as follows: </w:t>
      </w:r>
    </w:p>
    <w:p w:rsidR="00BC0E1D" w:rsidRPr="008010AA" w:rsidRDefault="00BC0E1D" w:rsidP="008010AA">
      <w:pPr>
        <w:spacing w:before="120" w:after="120" w:line="240" w:lineRule="auto"/>
        <w:jc w:val="both"/>
        <w:rPr>
          <w:sz w:val="24"/>
          <w:szCs w:val="24"/>
        </w:rPr>
      </w:pPr>
      <w:r w:rsidRPr="008010AA">
        <w:rPr>
          <w:sz w:val="24"/>
          <w:szCs w:val="24"/>
        </w:rPr>
        <w:t xml:space="preserve">a) Foreign national real persons.  </w:t>
      </w:r>
    </w:p>
    <w:p w:rsidR="00BC0E1D" w:rsidRPr="008010AA" w:rsidRDefault="00BC0E1D" w:rsidP="008010AA">
      <w:pPr>
        <w:spacing w:before="120" w:after="120" w:line="240" w:lineRule="auto"/>
        <w:jc w:val="both"/>
        <w:rPr>
          <w:sz w:val="24"/>
          <w:szCs w:val="24"/>
        </w:rPr>
      </w:pPr>
      <w:r w:rsidRPr="008010AA">
        <w:rPr>
          <w:sz w:val="24"/>
          <w:szCs w:val="24"/>
        </w:rPr>
        <w:t xml:space="preserve">b) Legal entities, which are incorporated in accordance with regulations of foreign countries.  </w:t>
      </w:r>
    </w:p>
    <w:p w:rsidR="00BC0E1D" w:rsidRPr="008010AA" w:rsidRDefault="00BC0E1D" w:rsidP="008010AA">
      <w:pPr>
        <w:spacing w:before="120" w:after="120" w:line="240" w:lineRule="auto"/>
        <w:jc w:val="both"/>
        <w:rPr>
          <w:sz w:val="24"/>
          <w:szCs w:val="24"/>
        </w:rPr>
      </w:pPr>
      <w:r w:rsidRPr="008010AA">
        <w:rPr>
          <w:sz w:val="24"/>
          <w:szCs w:val="24"/>
        </w:rPr>
        <w:t xml:space="preserve">c) International institutions.  </w:t>
      </w:r>
    </w:p>
    <w:p w:rsidR="00BC0E1D" w:rsidRPr="008010AA" w:rsidRDefault="00BC0E1D" w:rsidP="008010AA">
      <w:pPr>
        <w:spacing w:before="120" w:after="120" w:line="240" w:lineRule="auto"/>
        <w:jc w:val="both"/>
        <w:rPr>
          <w:sz w:val="24"/>
          <w:szCs w:val="24"/>
        </w:rPr>
      </w:pPr>
      <w:r w:rsidRPr="008010AA">
        <w:rPr>
          <w:sz w:val="24"/>
          <w:szCs w:val="24"/>
        </w:rPr>
        <w:t xml:space="preserve">Abovementioned  companies  are  foreign  capital  companies  which  are  subject  to  Foreign Direct  Investment  Code,  no.  4875.  According  to  Article  12of  the  Land  Register  Law,  they shall therefore submit an authorization certificate to the Directorates of Land Registry during title  deed  proceedings. </w:t>
      </w:r>
      <w:r w:rsidR="006A444A" w:rsidRPr="008010AA">
        <w:rPr>
          <w:sz w:val="24"/>
          <w:szCs w:val="24"/>
        </w:rPr>
        <w:t>Items requested</w:t>
      </w:r>
      <w:r w:rsidR="006A444A">
        <w:rPr>
          <w:sz w:val="24"/>
          <w:szCs w:val="24"/>
        </w:rPr>
        <w:t xml:space="preserve"> under the law (Share ratio etc.)  </w:t>
      </w:r>
      <w:proofErr w:type="gramStart"/>
      <w:r w:rsidR="006A444A">
        <w:rPr>
          <w:sz w:val="24"/>
          <w:szCs w:val="24"/>
        </w:rPr>
        <w:t>should</w:t>
      </w:r>
      <w:proofErr w:type="gramEnd"/>
      <w:r w:rsidR="006A444A">
        <w:rPr>
          <w:sz w:val="24"/>
          <w:szCs w:val="24"/>
        </w:rPr>
        <w:t xml:space="preserve"> </w:t>
      </w:r>
      <w:r w:rsidRPr="008010AA">
        <w:rPr>
          <w:sz w:val="24"/>
          <w:szCs w:val="24"/>
        </w:rPr>
        <w:t xml:space="preserve">be  found within this document and it should also be stated that the company is subject to the Foreign Direct Investment Code.  </w:t>
      </w:r>
    </w:p>
    <w:p w:rsidR="00BC0E1D" w:rsidRPr="008010AA" w:rsidRDefault="00BC0E1D" w:rsidP="008010AA">
      <w:pPr>
        <w:spacing w:before="120" w:after="120" w:line="240" w:lineRule="auto"/>
        <w:jc w:val="both"/>
        <w:rPr>
          <w:sz w:val="24"/>
          <w:szCs w:val="24"/>
        </w:rPr>
      </w:pPr>
      <w:r w:rsidRPr="008010AA">
        <w:rPr>
          <w:sz w:val="24"/>
          <w:szCs w:val="24"/>
        </w:rPr>
        <w:t xml:space="preserve">2-1.  In  case  foreign  capital  companies,  which  are  subject  to  Foreign  Direct  Investments Code, directly or indirectly, participate in another company established in Turkey, Aforesaid  companies  may  acquire  and  utilize  immovable  and  limited  right  in  rem  within Turkey in order to conduct the operations set under their articles of associations in case; </w:t>
      </w:r>
    </w:p>
    <w:p w:rsidR="00BC0E1D" w:rsidRPr="008010AA" w:rsidRDefault="00E50ED9" w:rsidP="008010AA">
      <w:pPr>
        <w:spacing w:before="120" w:after="120" w:line="240" w:lineRule="auto"/>
        <w:jc w:val="both"/>
        <w:rPr>
          <w:sz w:val="24"/>
          <w:szCs w:val="24"/>
        </w:rPr>
      </w:pPr>
      <w:r w:rsidRPr="008010AA">
        <w:rPr>
          <w:sz w:val="24"/>
          <w:szCs w:val="24"/>
        </w:rPr>
        <w:t xml:space="preserve">1) </w:t>
      </w:r>
      <w:r w:rsidR="00BC0E1D" w:rsidRPr="008010AA">
        <w:rPr>
          <w:sz w:val="24"/>
          <w:szCs w:val="24"/>
        </w:rPr>
        <w:t xml:space="preserve">Partnership ratio of foreign investor(s) within the participated company is fifty percent or higher,  </w:t>
      </w:r>
    </w:p>
    <w:p w:rsidR="00BC0E1D" w:rsidRPr="008010AA" w:rsidRDefault="00E50ED9" w:rsidP="008010AA">
      <w:pPr>
        <w:spacing w:before="120" w:after="120" w:line="240" w:lineRule="auto"/>
        <w:jc w:val="both"/>
        <w:rPr>
          <w:sz w:val="24"/>
          <w:szCs w:val="24"/>
        </w:rPr>
      </w:pPr>
      <w:r w:rsidRPr="008010AA">
        <w:rPr>
          <w:sz w:val="24"/>
          <w:szCs w:val="24"/>
        </w:rPr>
        <w:t xml:space="preserve">2) </w:t>
      </w:r>
      <w:r w:rsidR="00BC0E1D" w:rsidRPr="008010AA">
        <w:rPr>
          <w:sz w:val="24"/>
          <w:szCs w:val="24"/>
        </w:rPr>
        <w:t xml:space="preserve">Foreign  investors,  directly  or  indirectly,  acquire  fifty  percent  shares  of  domestic  capital companies, which possess immovable properties,   </w:t>
      </w:r>
    </w:p>
    <w:p w:rsidR="00BC0E1D" w:rsidRPr="008010AA" w:rsidRDefault="00E50ED9" w:rsidP="008010AA">
      <w:pPr>
        <w:spacing w:before="120" w:after="120" w:line="240" w:lineRule="auto"/>
        <w:jc w:val="both"/>
        <w:rPr>
          <w:sz w:val="24"/>
          <w:szCs w:val="24"/>
        </w:rPr>
      </w:pPr>
      <w:r w:rsidRPr="008010AA">
        <w:rPr>
          <w:sz w:val="24"/>
          <w:szCs w:val="24"/>
        </w:rPr>
        <w:t xml:space="preserve">3) </w:t>
      </w:r>
      <w:r w:rsidR="00BC0E1D" w:rsidRPr="008010AA">
        <w:rPr>
          <w:sz w:val="24"/>
          <w:szCs w:val="24"/>
        </w:rPr>
        <w:t xml:space="preserve">Partnership ratios of foreign investors in existing foreign capital companies, which possess </w:t>
      </w:r>
      <w:r w:rsidR="006A444A" w:rsidRPr="008010AA">
        <w:rPr>
          <w:sz w:val="24"/>
          <w:szCs w:val="24"/>
        </w:rPr>
        <w:t>immovable</w:t>
      </w:r>
      <w:r w:rsidR="00BC0E1D" w:rsidRPr="008010AA">
        <w:rPr>
          <w:sz w:val="24"/>
          <w:szCs w:val="24"/>
        </w:rPr>
        <w:t xml:space="preserve"> properties, reach fifty percent or exceed this amount as a result of share transfers. </w:t>
      </w:r>
    </w:p>
    <w:p w:rsidR="00BC0E1D" w:rsidRPr="008010AA" w:rsidRDefault="00BC0E1D" w:rsidP="008010AA">
      <w:pPr>
        <w:spacing w:before="120" w:after="120" w:line="240" w:lineRule="auto"/>
        <w:jc w:val="both"/>
        <w:rPr>
          <w:sz w:val="24"/>
          <w:szCs w:val="24"/>
        </w:rPr>
      </w:pPr>
      <w:r w:rsidRPr="008010AA">
        <w:rPr>
          <w:sz w:val="24"/>
          <w:szCs w:val="24"/>
        </w:rPr>
        <w:t xml:space="preserve">2-2.  Immovable  and  limited  right  in  rem  acquisition  within  military  zones  and  special security zones, </w:t>
      </w:r>
    </w:p>
    <w:p w:rsidR="00BC0E1D" w:rsidRPr="008010AA" w:rsidRDefault="00BC0E1D" w:rsidP="008010AA">
      <w:pPr>
        <w:spacing w:before="120" w:after="120" w:line="240" w:lineRule="auto"/>
        <w:jc w:val="both"/>
        <w:rPr>
          <w:sz w:val="24"/>
          <w:szCs w:val="24"/>
        </w:rPr>
      </w:pPr>
      <w:r w:rsidRPr="008010AA">
        <w:rPr>
          <w:sz w:val="24"/>
          <w:szCs w:val="24"/>
        </w:rPr>
        <w:t xml:space="preserve">There  is  an  obligation  in  the  Law  for  obtaining  permission  of  a  commissioned  military authority for military zones and of Governorships for special security zones. It may be stated that this permission applies for immovable and continues independent rights acquisitions and it is considered that there is no requirement for obtaining permissions regarding limited right in rem (such as usufruct and easement rights etc.).  </w:t>
      </w:r>
    </w:p>
    <w:p w:rsidR="00BC0E1D" w:rsidRPr="008010AA" w:rsidRDefault="00BC0E1D" w:rsidP="008010AA">
      <w:pPr>
        <w:spacing w:before="120" w:after="120" w:line="240" w:lineRule="auto"/>
        <w:jc w:val="both"/>
        <w:rPr>
          <w:sz w:val="24"/>
          <w:szCs w:val="24"/>
        </w:rPr>
      </w:pPr>
      <w:r w:rsidRPr="008010AA">
        <w:rPr>
          <w:sz w:val="24"/>
          <w:szCs w:val="24"/>
        </w:rPr>
        <w:lastRenderedPageBreak/>
        <w:t xml:space="preserve">2-3. Transactions that the Law shall not apply to,  </w:t>
      </w:r>
    </w:p>
    <w:p w:rsidR="00BC0E1D" w:rsidRPr="008010AA" w:rsidRDefault="00BC0E1D" w:rsidP="008010AA">
      <w:pPr>
        <w:spacing w:before="120" w:after="120" w:line="240" w:lineRule="auto"/>
        <w:jc w:val="both"/>
        <w:rPr>
          <w:sz w:val="24"/>
          <w:szCs w:val="24"/>
        </w:rPr>
      </w:pPr>
      <w:r w:rsidRPr="008010AA">
        <w:rPr>
          <w:sz w:val="24"/>
          <w:szCs w:val="24"/>
        </w:rPr>
        <w:t xml:space="preserve">1) Establishments of pledges, </w:t>
      </w:r>
    </w:p>
    <w:p w:rsidR="00BC0E1D" w:rsidRPr="008010AA" w:rsidRDefault="00E50ED9" w:rsidP="008010AA">
      <w:pPr>
        <w:spacing w:before="120" w:after="120" w:line="240" w:lineRule="auto"/>
        <w:jc w:val="both"/>
        <w:rPr>
          <w:sz w:val="24"/>
          <w:szCs w:val="24"/>
        </w:rPr>
      </w:pPr>
      <w:r w:rsidRPr="008010AA">
        <w:rPr>
          <w:sz w:val="24"/>
          <w:szCs w:val="24"/>
        </w:rPr>
        <w:t xml:space="preserve">2) </w:t>
      </w:r>
      <w:r w:rsidR="00BC0E1D" w:rsidRPr="008010AA">
        <w:rPr>
          <w:sz w:val="24"/>
          <w:szCs w:val="24"/>
        </w:rPr>
        <w:t xml:space="preserve">Property acquisitions through foreclosure of pledges within the scope of debt enforcement proceeding performed by mortgage beneficiaries,  </w:t>
      </w:r>
    </w:p>
    <w:p w:rsidR="00BC0E1D" w:rsidRPr="008010AA" w:rsidRDefault="00BC0E1D" w:rsidP="008010AA">
      <w:pPr>
        <w:spacing w:before="120" w:after="120" w:line="240" w:lineRule="auto"/>
        <w:jc w:val="both"/>
        <w:rPr>
          <w:sz w:val="24"/>
          <w:szCs w:val="24"/>
        </w:rPr>
      </w:pPr>
      <w:r w:rsidRPr="008010AA">
        <w:rPr>
          <w:sz w:val="24"/>
          <w:szCs w:val="24"/>
        </w:rPr>
        <w:t xml:space="preserve">3) Immovable property and limited right in rem transfers arising from company mergers and demergers,   </w:t>
      </w:r>
    </w:p>
    <w:p w:rsidR="00BC0E1D" w:rsidRPr="008010AA" w:rsidRDefault="00BC0E1D" w:rsidP="008010AA">
      <w:pPr>
        <w:spacing w:before="120" w:after="120" w:line="240" w:lineRule="auto"/>
        <w:jc w:val="both"/>
        <w:rPr>
          <w:sz w:val="24"/>
          <w:szCs w:val="24"/>
        </w:rPr>
      </w:pPr>
      <w:r w:rsidRPr="008010AA">
        <w:rPr>
          <w:sz w:val="24"/>
          <w:szCs w:val="24"/>
        </w:rPr>
        <w:t xml:space="preserve">4) Immovable property and limited right in rem acquisitions within special investment zones such  as  organized  industrial  zones,  industry  zones,  technology  development  zones  and  free zones,  </w:t>
      </w:r>
    </w:p>
    <w:p w:rsidR="00BC0E1D" w:rsidRPr="008010AA" w:rsidRDefault="00BC0E1D" w:rsidP="008010AA">
      <w:pPr>
        <w:spacing w:before="120" w:after="120" w:line="240" w:lineRule="auto"/>
        <w:jc w:val="both"/>
        <w:rPr>
          <w:sz w:val="24"/>
          <w:szCs w:val="24"/>
        </w:rPr>
      </w:pPr>
      <w:r w:rsidRPr="008010AA">
        <w:rPr>
          <w:sz w:val="24"/>
          <w:szCs w:val="24"/>
        </w:rPr>
        <w:t xml:space="preserve">5)  Immovable  acquisitions  of  banks  due  to  transactions,  which  are  deemed  as  credits  and loans within the scope of Banking Law dated 19.10.2005, no. 5411, or in order to collect their receivables,  provided  that  obligation  of  disposal  within  specified  time  pursuant  to  related </w:t>
      </w:r>
      <w:r w:rsidR="0027766C" w:rsidRPr="008010AA">
        <w:rPr>
          <w:sz w:val="24"/>
          <w:szCs w:val="24"/>
        </w:rPr>
        <w:t xml:space="preserve">legislations continues. </w:t>
      </w:r>
    </w:p>
    <w:p w:rsidR="00BC0E1D" w:rsidRPr="008010AA" w:rsidRDefault="00BC0E1D" w:rsidP="008010AA">
      <w:pPr>
        <w:spacing w:before="120" w:after="120" w:line="240" w:lineRule="auto"/>
        <w:jc w:val="both"/>
        <w:rPr>
          <w:sz w:val="24"/>
          <w:szCs w:val="24"/>
        </w:rPr>
      </w:pPr>
      <w:r w:rsidRPr="008010AA">
        <w:rPr>
          <w:sz w:val="24"/>
          <w:szCs w:val="24"/>
        </w:rPr>
        <w:t xml:space="preserve">2-4. Liquidation, </w:t>
      </w:r>
    </w:p>
    <w:p w:rsidR="00BC0E1D" w:rsidRPr="008010AA" w:rsidRDefault="00BC0E1D" w:rsidP="008010AA">
      <w:pPr>
        <w:spacing w:before="120" w:after="120" w:line="240" w:lineRule="auto"/>
        <w:jc w:val="both"/>
        <w:rPr>
          <w:sz w:val="24"/>
          <w:szCs w:val="24"/>
        </w:rPr>
      </w:pPr>
      <w:r w:rsidRPr="008010AA">
        <w:rPr>
          <w:sz w:val="24"/>
          <w:szCs w:val="24"/>
        </w:rPr>
        <w:t xml:space="preserve">In case immovable and limited right in rem, which are determined to be acquired or utilized in violation  of  provisions  of  this  article,  are  not  liquidated  by  their  owners  within  the  period specified by the Ministry of Finance, they shall be liquidated and their value and worth shall be paid to their beneficiaries.  </w:t>
      </w:r>
    </w:p>
    <w:p w:rsidR="00BC0E1D" w:rsidRPr="008010AA" w:rsidRDefault="00BC0E1D" w:rsidP="008010AA">
      <w:pPr>
        <w:spacing w:before="120" w:after="120" w:line="240" w:lineRule="auto"/>
        <w:jc w:val="both"/>
        <w:rPr>
          <w:sz w:val="24"/>
          <w:szCs w:val="24"/>
        </w:rPr>
      </w:pPr>
      <w:r w:rsidRPr="008010AA">
        <w:rPr>
          <w:sz w:val="24"/>
          <w:szCs w:val="24"/>
        </w:rPr>
        <w:t xml:space="preserve"> Foreign  capital  companies,  which  fall  outside  the  scope  of  restrictions  sp</w:t>
      </w:r>
      <w:r w:rsidR="006A444A">
        <w:rPr>
          <w:sz w:val="24"/>
          <w:szCs w:val="24"/>
        </w:rPr>
        <w:t xml:space="preserve">ecified  under  the Law  (i.e. </w:t>
      </w:r>
      <w:r w:rsidR="0027766C" w:rsidRPr="008010AA">
        <w:rPr>
          <w:sz w:val="24"/>
          <w:szCs w:val="24"/>
        </w:rPr>
        <w:t>Shareholding below 50% etc</w:t>
      </w:r>
      <w:r w:rsidRPr="008010AA">
        <w:rPr>
          <w:sz w:val="24"/>
          <w:szCs w:val="24"/>
        </w:rPr>
        <w:t xml:space="preserve">.)  may  perform  transactions  at  land  registries  same  as the  Turkish  companies  perform.  In  order  to  determine  this  circumstances,  it  is  required  to have  share  ratios  and  other  matters  requested  by  the  Law  (management  etc.)  </w:t>
      </w:r>
      <w:proofErr w:type="gramStart"/>
      <w:r w:rsidR="0027766C" w:rsidRPr="008010AA">
        <w:rPr>
          <w:sz w:val="24"/>
          <w:szCs w:val="24"/>
        </w:rPr>
        <w:t>written</w:t>
      </w:r>
      <w:proofErr w:type="gramEnd"/>
      <w:r w:rsidR="0027766C" w:rsidRPr="008010AA">
        <w:rPr>
          <w:sz w:val="24"/>
          <w:szCs w:val="24"/>
        </w:rPr>
        <w:t xml:space="preserve"> in</w:t>
      </w:r>
      <w:r w:rsidRPr="008010AA">
        <w:rPr>
          <w:sz w:val="24"/>
          <w:szCs w:val="24"/>
        </w:rPr>
        <w:t xml:space="preserve">  the authorization certificate o</w:t>
      </w:r>
      <w:bookmarkStart w:id="0" w:name="_GoBack"/>
      <w:bookmarkEnd w:id="0"/>
      <w:r w:rsidRPr="008010AA">
        <w:rPr>
          <w:sz w:val="24"/>
          <w:szCs w:val="24"/>
        </w:rPr>
        <w:t>f such companies.</w:t>
      </w:r>
    </w:p>
    <w:sectPr w:rsidR="00BC0E1D" w:rsidRPr="008010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AA" w:rsidRDefault="008010AA" w:rsidP="008010AA">
      <w:pPr>
        <w:spacing w:after="0" w:line="240" w:lineRule="auto"/>
      </w:pPr>
      <w:r>
        <w:separator/>
      </w:r>
    </w:p>
  </w:endnote>
  <w:endnote w:type="continuationSeparator" w:id="0">
    <w:p w:rsidR="008010AA" w:rsidRDefault="008010AA" w:rsidP="0080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10644"/>
      <w:docPartObj>
        <w:docPartGallery w:val="Page Numbers (Bottom of Page)"/>
        <w:docPartUnique/>
      </w:docPartObj>
    </w:sdtPr>
    <w:sdtEndPr>
      <w:rPr>
        <w:noProof/>
      </w:rPr>
    </w:sdtEndPr>
    <w:sdtContent>
      <w:p w:rsidR="008010AA" w:rsidRDefault="0016380E">
        <w:pPr>
          <w:pStyle w:val="Footer"/>
          <w:jc w:val="right"/>
        </w:pPr>
        <w:r>
          <w:rPr>
            <w:noProof/>
          </w:rPr>
          <w:drawing>
            <wp:anchor distT="0" distB="0" distL="114300" distR="114300" simplePos="0" relativeHeight="251659264" behindDoc="1" locked="0" layoutInCell="1" allowOverlap="1" wp14:anchorId="5456CA99" wp14:editId="20A73004">
              <wp:simplePos x="0" y="0"/>
              <wp:positionH relativeFrom="column">
                <wp:posOffset>1333500</wp:posOffset>
              </wp:positionH>
              <wp:positionV relativeFrom="paragraph">
                <wp:posOffset>26670</wp:posOffset>
              </wp:positionV>
              <wp:extent cx="3248025" cy="771525"/>
              <wp:effectExtent l="0" t="0" r="9525" b="9525"/>
              <wp:wrapTight wrapText="bothSides">
                <wp:wrapPolygon edited="0">
                  <wp:start x="10388" y="0"/>
                  <wp:lineTo x="0" y="3200"/>
                  <wp:lineTo x="0" y="6400"/>
                  <wp:lineTo x="2407" y="8533"/>
                  <wp:lineTo x="2407" y="9067"/>
                  <wp:lineTo x="8235" y="17067"/>
                  <wp:lineTo x="8615" y="20800"/>
                  <wp:lineTo x="8995" y="21333"/>
                  <wp:lineTo x="11275" y="21333"/>
                  <wp:lineTo x="12162" y="21333"/>
                  <wp:lineTo x="13555" y="21333"/>
                  <wp:lineTo x="14062" y="18667"/>
                  <wp:lineTo x="14569" y="17067"/>
                  <wp:lineTo x="17483" y="10667"/>
                  <wp:lineTo x="17483" y="8533"/>
                  <wp:lineTo x="21537" y="7467"/>
                  <wp:lineTo x="21537" y="3200"/>
                  <wp:lineTo x="12035" y="0"/>
                  <wp:lineTo x="10388" y="0"/>
                </wp:wrapPolygon>
              </wp:wrapTight>
              <wp:docPr id="5" name="Picture 1" descr="kanat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atl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771525"/>
                      </a:xfrm>
                      <a:prstGeom prst="rect">
                        <a:avLst/>
                      </a:prstGeom>
                      <a:noFill/>
                      <a:ln w="9525">
                        <a:noFill/>
                        <a:miter lim="800000"/>
                        <a:headEnd/>
                        <a:tailEnd/>
                      </a:ln>
                    </pic:spPr>
                  </pic:pic>
                </a:graphicData>
              </a:graphic>
            </wp:anchor>
          </w:drawing>
        </w:r>
        <w:r w:rsidR="008010AA">
          <w:fldChar w:fldCharType="begin"/>
        </w:r>
        <w:r w:rsidR="008010AA">
          <w:instrText xml:space="preserve"> PAGE   \* MERGEFORMAT </w:instrText>
        </w:r>
        <w:r w:rsidR="008010AA">
          <w:fldChar w:fldCharType="separate"/>
        </w:r>
        <w:r w:rsidR="00D15C99">
          <w:rPr>
            <w:noProof/>
          </w:rPr>
          <w:t>6</w:t>
        </w:r>
        <w:r w:rsidR="008010AA">
          <w:rPr>
            <w:noProof/>
          </w:rPr>
          <w:fldChar w:fldCharType="end"/>
        </w:r>
      </w:p>
    </w:sdtContent>
  </w:sdt>
  <w:p w:rsidR="008010AA" w:rsidRDefault="008010AA" w:rsidP="001638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AA" w:rsidRDefault="008010AA" w:rsidP="008010AA">
      <w:pPr>
        <w:spacing w:after="0" w:line="240" w:lineRule="auto"/>
      </w:pPr>
      <w:r>
        <w:separator/>
      </w:r>
    </w:p>
  </w:footnote>
  <w:footnote w:type="continuationSeparator" w:id="0">
    <w:p w:rsidR="008010AA" w:rsidRDefault="008010AA" w:rsidP="00801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1D"/>
    <w:rsid w:val="000778BE"/>
    <w:rsid w:val="0016380E"/>
    <w:rsid w:val="0027766C"/>
    <w:rsid w:val="006A444A"/>
    <w:rsid w:val="008010AA"/>
    <w:rsid w:val="00BC0E1D"/>
    <w:rsid w:val="00CC0DE5"/>
    <w:rsid w:val="00D15C99"/>
    <w:rsid w:val="00E4506C"/>
    <w:rsid w:val="00E5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ED9"/>
    <w:rPr>
      <w:i/>
      <w:iCs/>
    </w:rPr>
  </w:style>
  <w:style w:type="paragraph" w:styleId="Header">
    <w:name w:val="header"/>
    <w:basedOn w:val="Normal"/>
    <w:link w:val="HeaderChar"/>
    <w:uiPriority w:val="99"/>
    <w:unhideWhenUsed/>
    <w:rsid w:val="008010A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10AA"/>
  </w:style>
  <w:style w:type="paragraph" w:styleId="Footer">
    <w:name w:val="footer"/>
    <w:basedOn w:val="Normal"/>
    <w:link w:val="FooterChar"/>
    <w:uiPriority w:val="99"/>
    <w:unhideWhenUsed/>
    <w:rsid w:val="008010A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1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ED9"/>
    <w:rPr>
      <w:i/>
      <w:iCs/>
    </w:rPr>
  </w:style>
  <w:style w:type="paragraph" w:styleId="Header">
    <w:name w:val="header"/>
    <w:basedOn w:val="Normal"/>
    <w:link w:val="HeaderChar"/>
    <w:uiPriority w:val="99"/>
    <w:unhideWhenUsed/>
    <w:rsid w:val="008010A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10AA"/>
  </w:style>
  <w:style w:type="paragraph" w:styleId="Footer">
    <w:name w:val="footer"/>
    <w:basedOn w:val="Normal"/>
    <w:link w:val="FooterChar"/>
    <w:uiPriority w:val="99"/>
    <w:unhideWhenUsed/>
    <w:rsid w:val="008010A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7168">
      <w:bodyDiv w:val="1"/>
      <w:marLeft w:val="0"/>
      <w:marRight w:val="0"/>
      <w:marTop w:val="0"/>
      <w:marBottom w:val="0"/>
      <w:divBdr>
        <w:top w:val="none" w:sz="0" w:space="0" w:color="auto"/>
        <w:left w:val="none" w:sz="0" w:space="0" w:color="auto"/>
        <w:bottom w:val="none" w:sz="0" w:space="0" w:color="auto"/>
        <w:right w:val="none" w:sz="0" w:space="0" w:color="auto"/>
      </w:divBdr>
      <w:divsChild>
        <w:div w:id="1631397147">
          <w:marLeft w:val="0"/>
          <w:marRight w:val="0"/>
          <w:marTop w:val="0"/>
          <w:marBottom w:val="0"/>
          <w:divBdr>
            <w:top w:val="none" w:sz="0" w:space="0" w:color="auto"/>
            <w:left w:val="none" w:sz="0" w:space="0" w:color="auto"/>
            <w:bottom w:val="none" w:sz="0" w:space="0" w:color="auto"/>
            <w:right w:val="none" w:sz="0" w:space="0" w:color="auto"/>
          </w:divBdr>
          <w:divsChild>
            <w:div w:id="20373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Dolu</dc:creator>
  <cp:lastModifiedBy>Ece Dolu</cp:lastModifiedBy>
  <cp:revision>4</cp:revision>
  <dcterms:created xsi:type="dcterms:W3CDTF">2012-06-13T13:20:00Z</dcterms:created>
  <dcterms:modified xsi:type="dcterms:W3CDTF">2012-06-13T13:21:00Z</dcterms:modified>
</cp:coreProperties>
</file>